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xpon_8k.htm"/>
      <w:bookmarkStart w:id="1" w:name="ksxpon_8k"/>
      <w:bookmarkEnd w:id="0"/>
      <w:bookmarkEnd w:id="1"/>
      <w:r>
        <w:rPr>
          <w:bdr w:val="single" w:sz="16" w:space="1" w:color="000000"/>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HorizontalLine"/>
        <w:pBdr>
          <w:bottom w:val="double" w:sz="2" w:space="0" w:color="808080"/>
        </w:pBdr>
        <w:bidi w:val="0"/>
        <w:spacing w:before="0" w:after="283"/>
        <w:jc w:val="left"/>
        <w:rPr/>
      </w:pPr>
      <w:r>
        <w:rPr/>
      </w:r>
    </w:p>
    <w:p>
      <w:pPr>
        <w:pStyle w:val="TextBody"/>
        <w:bidi w:val="0"/>
        <w:spacing w:before="0" w:after="6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B_edei--DocumentType_c20250903__20"/>
      <w:bookmarkEnd w:id="2"/>
      <w:r>
        <w:rPr>
          <w:rFonts w:ascii="Times New Roman;Times;Serif" w:hAnsi="Times New Roman;Times;Serif"/>
          <w:b/>
          <w:i w:val="false"/>
          <w:caps w:val="false"/>
          <w:smallCaps w:val="false"/>
          <w:sz w:val="20"/>
        </w:rPr>
        <w:t>8-K</w:t>
      </w:r>
    </w:p>
    <w:p>
      <w:pPr>
        <w:pStyle w:val="HorizontalLine"/>
        <w:pBdr>
          <w:bottom w:val="double" w:sz="2" w:space="0" w:color="808080"/>
        </w:pBdr>
        <w:bidi w:val="0"/>
        <w:spacing w:before="0" w:after="283"/>
        <w:jc w:val="left"/>
        <w:rPr/>
      </w:pPr>
      <w:r>
        <w:rPr/>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val="false"/>
          <w:i w:val="false"/>
          <w:caps w:val="false"/>
          <w:smallCaps w:val="false"/>
          <w:sz w:val="24"/>
        </w:rPr>
      </w:pPr>
      <w:r>
        <w:rPr>
          <w:rFonts w:ascii="Times New Roman;Times;Serif" w:hAnsi="Times New Roman;Times;Serif"/>
          <w:b/>
          <w:i w:val="false"/>
          <w:caps/>
          <w:sz w:val="20"/>
        </w:rPr>
        <w:t>CURRENT REPORT</w:t>
      </w:r>
      <w:r>
        <w:rPr>
          <w:rFonts w:ascii="Times New Roman;Times;Serif" w:hAnsi="Times New Roman;Times;Serif"/>
          <w:b w:val="false"/>
          <w:i w:val="false"/>
          <w:caps w:val="false"/>
          <w:smallCaps w:val="false"/>
          <w:sz w:val="24"/>
        </w:rPr>
        <w:t> </w:t>
      </w:r>
    </w:p>
    <w:p>
      <w:pPr>
        <w:pStyle w:val="TextBody"/>
        <w:bidi w:val="0"/>
        <w:jc w:val="center"/>
        <w:rPr>
          <w:caps w:val="false"/>
          <w:smallCaps w:val="false"/>
        </w:rPr>
      </w:pPr>
      <w:r>
        <w:rPr>
          <w:caps w:val="false"/>
          <w:smallCaps w:val="false"/>
        </w:rPr>
        <w:t> </w:t>
      </w:r>
      <w:r>
        <w:rPr>
          <w:rFonts w:ascii="Times New Roman;Times;Serif" w:hAnsi="Times New Roman;Times;Serif"/>
          <w:b/>
          <w:i w:val="false"/>
          <w:caps w:val="false"/>
          <w:smallCaps w:val="false"/>
          <w:sz w:val="20"/>
        </w:rPr>
        <w:t>Pursuant to Section 13 or 15(d)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 </w:t>
      </w:r>
    </w:p>
    <w:p>
      <w:pPr>
        <w:pStyle w:val="TextBody"/>
        <w:bidi w:val="0"/>
        <w:spacing w:lineRule="auto" w:line="288"/>
        <w:jc w:val="center"/>
        <w:rPr>
          <w:caps w:val="false"/>
          <w:smallCaps w:val="false"/>
        </w:rPr>
      </w:pPr>
      <w:r>
        <w:rPr>
          <w:caps w:val="false"/>
          <w:smallCaps w:val="false"/>
        </w:rPr>
        <w:t> </w:t>
      </w:r>
    </w:p>
    <w:p>
      <w:pPr>
        <w:pStyle w:val="TextBody"/>
        <w:bidi w:val="0"/>
        <w:spacing w:lineRule="auto" w:line="288"/>
        <w:jc w:val="center"/>
        <w:rPr>
          <w:caps w:val="false"/>
          <w:smallCaps w:val="false"/>
        </w:rPr>
      </w:pPr>
      <w:r>
        <w:rPr>
          <w:caps w:val="false"/>
          <w:smallCaps w:val="false"/>
        </w:rPr>
        <w:t> </w:t>
      </w: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September 3, 2025</w:t>
      </w:r>
    </w:p>
    <w:p>
      <w:pPr>
        <w:pStyle w:val="HorizontalLine"/>
        <w:pBdr>
          <w:bottom w:val="double" w:sz="2" w:space="0" w:color="808080"/>
        </w:pBdr>
        <w:bidi w:val="0"/>
        <w:spacing w:before="0" w:after="283"/>
        <w:jc w:val="left"/>
        <w:rPr/>
      </w:pPr>
      <w:r>
        <w:rPr/>
      </w:r>
    </w:p>
    <w:p>
      <w:pPr>
        <w:pStyle w:val="TextBody"/>
        <w:bidi w:val="0"/>
        <w:jc w:val="center"/>
        <w:rPr>
          <w:caps w:val="false"/>
          <w:smallCaps w:val="false"/>
        </w:rPr>
      </w:pPr>
      <w:r>
        <w:rPr>
          <w:caps w:val="false"/>
          <w:smallCaps w:val="false"/>
        </w:rPr>
        <w:t> </w:t>
      </w:r>
    </w:p>
    <w:p>
      <w:pPr>
        <w:pStyle w:val="TextBody"/>
        <w:bidi w:val="0"/>
        <w:spacing w:lineRule="auto" w:line="288"/>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4" w:name="xdx_900_edei--EntityRegistrantName_c2025"/>
      <w:bookmarkEnd w:id="4"/>
      <w:r>
        <w:rPr>
          <w:rFonts w:ascii="Times New Roman;Times;Serif" w:hAnsi="Times New Roman;Times;Serif"/>
          <w:b/>
          <w:i w:val="false"/>
          <w:caps w:val="false"/>
          <w:smallCaps w:val="false"/>
          <w:sz w:val="20"/>
        </w:rPr>
        <w:t>Expion360 Inc.</w:t>
      </w:r>
    </w:p>
    <w:p>
      <w:pPr>
        <w:pStyle w:val="TextBody"/>
        <w:bidi w:val="0"/>
        <w:spacing w:before="0" w:after="3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HorizontalLine"/>
        <w:pBdr>
          <w:bottom w:val="double" w:sz="2" w:space="0" w:color="808080"/>
        </w:pBdr>
        <w:bidi w:val="0"/>
        <w:spacing w:before="0" w:after="283"/>
        <w:jc w:val="left"/>
        <w:rPr/>
      </w:pPr>
      <w:r>
        <w:rPr/>
      </w:r>
    </w:p>
    <w:p>
      <w:pPr>
        <w:pStyle w:val="TextBody"/>
        <w:bidi w:val="0"/>
        <w:jc w:val="center"/>
        <w:rPr>
          <w:caps w:val="false"/>
          <w:smallCaps w:val="false"/>
        </w:rPr>
      </w:pPr>
      <w:r>
        <w:rPr>
          <w:caps w:val="false"/>
          <w:smallCaps w:val="false"/>
        </w:rPr>
        <w:t> </w:t>
      </w:r>
    </w:p>
    <w:tbl>
      <w:tblPr>
        <w:tblW w:w="5490" w:type="dxa"/>
        <w:jc w:val="left"/>
        <w:tblInd w:w="0" w:type="dxa"/>
        <w:tblLayout w:type="fixed"/>
        <w:tblCellMar>
          <w:top w:w="0" w:type="dxa"/>
          <w:left w:w="0" w:type="dxa"/>
          <w:bottom w:w="0" w:type="dxa"/>
          <w:right w:w="0" w:type="dxa"/>
        </w:tblCellMar>
      </w:tblPr>
      <w:tblGrid>
        <w:gridCol w:w="2660"/>
        <w:gridCol w:w="60"/>
        <w:gridCol w:w="1145"/>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bookmarkStart w:id="5" w:name="xdx_904_edei--EntityIncorporationStateCo"/>
            <w:bookmarkEnd w:id="5"/>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50903"/>
            <w:bookmarkEnd w:id="6"/>
            <w:r>
              <w:rPr>
                <w:rFonts w:ascii="Times New Roman;Times;Serif" w:hAnsi="Times New Roman;Times;Serif"/>
                <w:b/>
                <w:sz w:val="20"/>
              </w:rPr>
              <w:t>001-41347</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bookmarkStart w:id="7" w:name="xdx_901_edei--EntityTaxIdentificationNum"/>
            <w:bookmarkEnd w:id="7"/>
            <w:r>
              <w:rPr>
                <w:rFonts w:ascii="Times New Roman;Times;Serif" w:hAnsi="Times New Roman;Times;Serif"/>
                <w:b/>
                <w:sz w:val="20"/>
              </w:rPr>
              <w:t>81-2701049</w:t>
            </w:r>
          </w:p>
        </w:tc>
      </w:tr>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 of</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r>
          </w:p>
        </w:tc>
      </w:tr>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incorporation or organization)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Identification No.)</w:t>
            </w:r>
          </w:p>
        </w:tc>
      </w:tr>
    </w:tbl>
    <w:p>
      <w:pPr>
        <w:pStyle w:val="HorizontalLine"/>
        <w:pBdr>
          <w:bottom w:val="double" w:sz="2" w:space="0" w:color="808080"/>
        </w:pBdr>
        <w:bidi w:val="0"/>
        <w:spacing w:before="0" w:after="283"/>
        <w:jc w:val="left"/>
        <w:rPr/>
      </w:pPr>
      <w:r>
        <w:rPr/>
      </w:r>
    </w:p>
    <w:p>
      <w:pPr>
        <w:pStyle w:val="TextBody"/>
        <w:bidi w:val="0"/>
        <w:jc w:val="center"/>
        <w:rPr>
          <w:caps w:val="false"/>
          <w:smallCaps w:val="false"/>
        </w:rPr>
      </w:pPr>
      <w:r>
        <w:rPr>
          <w:caps w:val="false"/>
          <w:smallCaps w:val="false"/>
        </w:rPr>
        <w:t> </w:t>
      </w:r>
    </w:p>
    <w:tbl>
      <w:tblPr>
        <w:tblW w:w="4400" w:type="dxa"/>
        <w:jc w:val="left"/>
        <w:tblInd w:w="0" w:type="dxa"/>
        <w:tblLayout w:type="fixed"/>
        <w:tblCellMar>
          <w:top w:w="0" w:type="dxa"/>
          <w:left w:w="0" w:type="dxa"/>
          <w:bottom w:w="0" w:type="dxa"/>
          <w:right w:w="0" w:type="dxa"/>
        </w:tblCellMar>
      </w:tblPr>
      <w:tblGrid>
        <w:gridCol w:w="4400"/>
      </w:tblGrid>
      <w:tr>
        <w:trPr/>
        <w:tc>
          <w:tcPr>
            <w:tcW w:w="4400" w:type="dxa"/>
            <w:tcBorders/>
            <w:vAlign w:val="center"/>
          </w:tcPr>
          <w:p>
            <w:pPr>
              <w:pStyle w:val="TableContents"/>
              <w:bidi w:val="0"/>
              <w:spacing w:before="0" w:after="283"/>
              <w:jc w:val="center"/>
              <w:rPr>
                <w:rFonts w:ascii="Times New Roman;Times;Serif" w:hAnsi="Times New Roman;Times;Serif"/>
                <w:b/>
                <w:sz w:val="20"/>
              </w:rPr>
            </w:pPr>
            <w:bookmarkStart w:id="8" w:name="xdx_901_edei--EntityAddressAddressLine1_"/>
            <w:bookmarkEnd w:id="8"/>
            <w:r>
              <w:rPr>
                <w:rFonts w:ascii="Times New Roman;Times;Serif" w:hAnsi="Times New Roman;Times;Serif"/>
                <w:b/>
                <w:sz w:val="20"/>
              </w:rPr>
              <w:t>2025 SW Deerhound Avenue</w:t>
            </w:r>
          </w:p>
        </w:tc>
      </w:tr>
      <w:tr>
        <w:trPr/>
        <w:tc>
          <w:tcPr>
            <w:tcW w:w="4400" w:type="dxa"/>
            <w:tcBorders/>
            <w:vAlign w:val="center"/>
          </w:tcPr>
          <w:p>
            <w:pPr>
              <w:pStyle w:val="TableContents"/>
              <w:bidi w:val="0"/>
              <w:spacing w:before="0" w:after="283"/>
              <w:jc w:val="center"/>
              <w:rPr/>
            </w:pPr>
            <w:bookmarkStart w:id="9" w:name="xdx_907_edei--EntityAddressCityOrTown_c2"/>
            <w:bookmarkEnd w:id="9"/>
            <w:r>
              <w:rPr>
                <w:rFonts w:ascii="Times New Roman;Times;Serif" w:hAnsi="Times New Roman;Times;Serif"/>
                <w:b/>
                <w:sz w:val="20"/>
              </w:rPr>
              <w:t xml:space="preserve">Redmond, </w:t>
            </w:r>
            <w:bookmarkStart w:id="10" w:name="xdx_90D_edei--EntityAddressStateOrProvin"/>
            <w:bookmarkEnd w:id="10"/>
            <w:r>
              <w:rPr>
                <w:rFonts w:ascii="Times New Roman;Times;Serif" w:hAnsi="Times New Roman;Times;Serif"/>
                <w:b/>
                <w:sz w:val="20"/>
              </w:rPr>
              <w:t xml:space="preserve">OR </w:t>
            </w:r>
            <w:bookmarkStart w:id="11" w:name="xdx_908_edei--EntityAddressPostalZipCode"/>
            <w:bookmarkEnd w:id="11"/>
            <w:r>
              <w:rPr>
                <w:rFonts w:ascii="Times New Roman;Times;Serif" w:hAnsi="Times New Roman;Times;Serif"/>
                <w:b/>
                <w:sz w:val="20"/>
              </w:rPr>
              <w:t>97756</w:t>
            </w:r>
          </w:p>
        </w:tc>
      </w:tr>
      <w:tr>
        <w:trPr/>
        <w:tc>
          <w:tcPr>
            <w:tcW w:w="440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(Address of principal executive offices and zip code)</w:t>
            </w:r>
          </w:p>
        </w:tc>
      </w:tr>
    </w:tbl>
    <w:p>
      <w:pPr>
        <w:pStyle w:val="TextBody"/>
        <w:bidi w:val="0"/>
        <w:ind w:left="60" w:right="60" w:hanging="0"/>
        <w:jc w:val="center"/>
        <w:rPr>
          <w:rFonts w:ascii="Times New Roman;Times;Serif" w:hAnsi="Times New Roman;Times;Serif"/>
          <w:b w:val="false"/>
          <w:i w:val="false"/>
          <w:caps w:val="false"/>
          <w:smallCaps w:val="false"/>
          <w:sz w:val="20"/>
        </w:rPr>
      </w:pPr>
      <w:bookmarkStart w:id="12" w:name="xdx_90E_edei--CityAreaCode_c20250903__20"/>
      <w:bookmarkEnd w:id="12"/>
      <w:r>
        <w:rPr>
          <w:rFonts w:ascii="Times New Roman;Times;Serif" w:hAnsi="Times New Roman;Times;Serif"/>
          <w:b/>
          <w:i w:val="false"/>
          <w:caps w:val="false"/>
          <w:smallCaps w:val="false"/>
          <w:sz w:val="20"/>
        </w:rPr>
        <w:t xml:space="preserve">(541) </w:t>
      </w:r>
      <w:bookmarkStart w:id="13" w:name="xdx_905_edei--LocalPhoneNumber_c20250903"/>
      <w:bookmarkEnd w:id="13"/>
      <w:r>
        <w:rPr>
          <w:rFonts w:ascii="Times New Roman;Times;Serif" w:hAnsi="Times New Roman;Times;Serif"/>
          <w:b/>
          <w:i w:val="false"/>
          <w:caps w:val="false"/>
          <w:smallCaps w:val="false"/>
          <w:sz w:val="20"/>
        </w:rPr>
        <w:t>797-6714</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24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HorizontalLine"/>
        <w:pBdr>
          <w:bottom w:val="double" w:sz="2" w:space="0" w:color="808080"/>
        </w:pBdr>
        <w:bidi w:val="0"/>
        <w:spacing w:before="0" w:after="283"/>
        <w:jc w:val="left"/>
        <w:rPr/>
      </w:pPr>
      <w:r>
        <w:rPr/>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jc w:val="left"/>
        <w:rPr>
          <w:caps w:val="false"/>
          <w:smallCaps w:val="false"/>
        </w:rPr>
      </w:pPr>
      <w:r>
        <w:rPr>
          <w:caps w:val="false"/>
          <w:smallCaps w:val="false"/>
        </w:rPr>
        <w:t> </w:t>
      </w:r>
    </w:p>
    <w:p>
      <w:pPr>
        <w:pStyle w:val="TextBody"/>
        <w:bidi w:val="0"/>
        <w:ind w:left="360" w:right="0" w:hanging="360"/>
        <w:jc w:val="left"/>
        <w:rPr>
          <w:rFonts w:ascii="Times New Roman;Times;Serif" w:hAnsi="Times New Roman;Times;Serif"/>
          <w:b w:val="false"/>
          <w:i w:val="false"/>
          <w:caps w:val="false"/>
          <w:smallCaps w:val="false"/>
          <w:sz w:val="20"/>
        </w:rPr>
      </w:pPr>
      <w:bookmarkStart w:id="14" w:name="xdx_901_edei--WrittenCommunications_c202"/>
      <w:bookmarkEnd w:id="14"/>
      <w:r>
        <w:rPr>
          <w:rFonts w:ascii="Times New Roman;Times;Serif" w:hAnsi="Times New Roman;Times;Serif"/>
          <w:b w:val="false"/>
          <w:i w:val="false"/>
          <w:caps w:val="false"/>
          <w:smallCaps w:val="false"/>
          <w:sz w:val="20"/>
        </w:rPr>
        <w:t>[ ]            Written communications pursuant to Rule 425 under the Securities Act (17 CFR 230.425)</w:t>
      </w:r>
    </w:p>
    <w:p>
      <w:pPr>
        <w:pStyle w:val="TextBody"/>
        <w:bidi w:val="0"/>
        <w:ind w:left="720" w:right="0" w:hanging="720"/>
        <w:jc w:val="left"/>
        <w:rPr>
          <w:caps w:val="false"/>
          <w:smallCaps w:val="false"/>
        </w:rPr>
      </w:pPr>
      <w:r>
        <w:rPr>
          <w:caps w:val="false"/>
          <w:smallCaps w:val="false"/>
        </w:rPr>
        <w:t> </w:t>
      </w:r>
    </w:p>
    <w:p>
      <w:pPr>
        <w:pStyle w:val="TextBody"/>
        <w:bidi w:val="0"/>
        <w:ind w:left="360" w:right="0" w:hanging="360"/>
        <w:jc w:val="left"/>
        <w:rPr>
          <w:rFonts w:ascii="Times New Roman;Times;Serif" w:hAnsi="Times New Roman;Times;Serif"/>
          <w:b w:val="false"/>
          <w:i w:val="false"/>
          <w:caps w:val="false"/>
          <w:smallCaps w:val="false"/>
          <w:sz w:val="20"/>
        </w:rPr>
      </w:pPr>
      <w:bookmarkStart w:id="15" w:name="xdx_902_edei--SolicitingMaterial_c202509"/>
      <w:bookmarkEnd w:id="15"/>
      <w:r>
        <w:rPr>
          <w:rFonts w:ascii="Times New Roman;Times;Serif" w:hAnsi="Times New Roman;Times;Serif"/>
          <w:b w:val="false"/>
          <w:i w:val="false"/>
          <w:caps w:val="false"/>
          <w:smallCaps w:val="false"/>
          <w:sz w:val="20"/>
        </w:rPr>
        <w:t>[ ]            Soliciting material pursuant to Rule 14a-12 under the Exchange Act (17 CFR 240.14a-12)</w:t>
      </w:r>
    </w:p>
    <w:p>
      <w:pPr>
        <w:pStyle w:val="TextBody"/>
        <w:bidi w:val="0"/>
        <w:ind w:left="720" w:right="0" w:hanging="720"/>
        <w:jc w:val="left"/>
        <w:rPr>
          <w:caps w:val="false"/>
          <w:smallCaps w:val="false"/>
        </w:rPr>
      </w:pPr>
      <w:r>
        <w:rPr>
          <w:caps w:val="false"/>
          <w:smallCaps w:val="false"/>
        </w:rPr>
        <w:t> </w:t>
      </w:r>
    </w:p>
    <w:p>
      <w:pPr>
        <w:pStyle w:val="TextBody"/>
        <w:bidi w:val="0"/>
        <w:ind w:left="360" w:right="0" w:hanging="360"/>
        <w:jc w:val="left"/>
        <w:rPr>
          <w:rFonts w:ascii="Times New Roman;Times;Serif" w:hAnsi="Times New Roman;Times;Serif"/>
          <w:b w:val="false"/>
          <w:i w:val="false"/>
          <w:caps w:val="false"/>
          <w:smallCaps w:val="false"/>
          <w:sz w:val="20"/>
        </w:rPr>
      </w:pPr>
      <w:bookmarkStart w:id="16" w:name="xdx_90A_edei--PreCommencementTenderOffer"/>
      <w:bookmarkEnd w:id="16"/>
      <w:r>
        <w:rPr>
          <w:rFonts w:ascii="Times New Roman;Times;Serif" w:hAnsi="Times New Roman;Times;Serif"/>
          <w:b w:val="false"/>
          <w:i w:val="false"/>
          <w:caps w:val="false"/>
          <w:smallCaps w:val="false"/>
          <w:sz w:val="20"/>
        </w:rPr>
        <w:t>[ ]            Pre-commencement communications pursuant to Rule 14d-2(b) under the Exchange Act (17 CFR 240.14d-2(b))</w:t>
      </w:r>
    </w:p>
    <w:p>
      <w:pPr>
        <w:pStyle w:val="TextBody"/>
        <w:bidi w:val="0"/>
        <w:ind w:left="720" w:right="0" w:hanging="720"/>
        <w:jc w:val="left"/>
        <w:rPr>
          <w:caps w:val="false"/>
          <w:smallCaps w:val="false"/>
        </w:rPr>
      </w:pPr>
      <w:r>
        <w:rPr>
          <w:caps w:val="false"/>
          <w:smallCaps w:val="false"/>
        </w:rPr>
        <w:t> </w:t>
      </w:r>
    </w:p>
    <w:p>
      <w:pPr>
        <w:pStyle w:val="TextBody"/>
        <w:bidi w:val="0"/>
        <w:ind w:left="360" w:right="0" w:hanging="360"/>
        <w:jc w:val="left"/>
        <w:rPr>
          <w:rFonts w:ascii="Times New Roman;Times;Serif" w:hAnsi="Times New Roman;Times;Serif"/>
          <w:b w:val="false"/>
          <w:i w:val="false"/>
          <w:caps w:val="false"/>
          <w:smallCaps w:val="false"/>
          <w:sz w:val="20"/>
        </w:rPr>
      </w:pPr>
      <w:bookmarkStart w:id="17" w:name="xdx_90C_edei--PreCommencementIssuerTende"/>
      <w:bookmarkEnd w:id="17"/>
      <w:r>
        <w:rPr>
          <w:rFonts w:ascii="Times New Roman;Times;Serif" w:hAnsi="Times New Roman;Times;Serif"/>
          <w:b w:val="false"/>
          <w:i w:val="false"/>
          <w:caps w:val="false"/>
          <w:smallCaps w:val="false"/>
          <w:sz w:val="20"/>
        </w:rPr>
        <w:t>[ ]            Pre-commencement communications pursuant to Rule 13e-4(c) under the Exchange Act (17 CFR 240.13e-4(c))</w:t>
      </w:r>
    </w:p>
    <w:p>
      <w:pPr>
        <w:pStyle w:val="TextBody"/>
        <w:bidi w:val="0"/>
        <w:ind w:left="360" w:right="0" w:hanging="36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jc w:val="both"/>
        <w:rPr>
          <w:caps w:val="false"/>
          <w:smallCaps w:val="false"/>
        </w:rPr>
      </w:pPr>
      <w:r>
        <w:rPr>
          <w:caps w:val="false"/>
          <w:smallCaps w:val="false"/>
        </w:rPr>
        <w:t> </w:t>
      </w:r>
    </w:p>
    <w:tbl>
      <w:tblPr>
        <w:tblW w:w="9210" w:type="dxa"/>
        <w:jc w:val="left"/>
        <w:tblInd w:w="0" w:type="dxa"/>
        <w:tblLayout w:type="fixed"/>
        <w:tblCellMar>
          <w:top w:w="0" w:type="dxa"/>
          <w:left w:w="0" w:type="dxa"/>
          <w:bottom w:w="0" w:type="dxa"/>
          <w:right w:w="0" w:type="dxa"/>
        </w:tblCellMar>
      </w:tblPr>
      <w:tblGrid>
        <w:gridCol w:w="3680"/>
        <w:gridCol w:w="60"/>
        <w:gridCol w:w="1655"/>
        <w:gridCol w:w="60"/>
        <w:gridCol w:w="3755"/>
      </w:tblGrid>
      <w:tr>
        <w:trPr/>
        <w:tc>
          <w:tcPr>
            <w:tcW w:w="3680" w:type="dxa"/>
            <w:tcBorders/>
            <w:vAlign w:val="center"/>
          </w:tcPr>
          <w:p>
            <w:pPr>
              <w:pStyle w:val="TableContents"/>
              <w:bidi w:val="0"/>
              <w:spacing w:before="0" w:after="283"/>
              <w:jc w:val="center"/>
              <w:rPr/>
            </w:pPr>
            <w:r>
              <w:rPr/>
              <w:t> </w:t>
            </w:r>
            <w:r>
              <w:rPr>
                <w:rFonts w:ascii="Times New Roman;Times;Serif" w:hAnsi="Times New Roman;Times;Serif"/>
                <w:b/>
                <w:sz w:val="20"/>
              </w:rPr>
              <w:t>Title of each class</w:t>
            </w:r>
          </w:p>
        </w:tc>
        <w:tc>
          <w:tcPr>
            <w:tcW w:w="60"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 </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 </w:t>
            </w:r>
          </w:p>
        </w:tc>
      </w:tr>
      <w:tr>
        <w:trPr/>
        <w:tc>
          <w:tcPr>
            <w:tcW w:w="368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bookmarkStart w:id="18" w:name="xdx_906_edei--Security12bTitle_c20250903"/>
            <w:bookmarkEnd w:id="18"/>
            <w:r>
              <w:rPr>
                <w:rFonts w:ascii="Times New Roman;Times;Serif" w:hAnsi="Times New Roman;Times;Serif"/>
                <w:b/>
                <w:sz w:val="20"/>
              </w:rPr>
              <w:t>Common Stock, par value $0.001 per share</w:t>
            </w:r>
          </w:p>
        </w:tc>
        <w:tc>
          <w:tcPr>
            <w:tcW w:w="60" w:type="dxa"/>
            <w:tcBorders/>
            <w:vAlign w:val="center"/>
          </w:tcPr>
          <w:p>
            <w:pPr>
              <w:pStyle w:val="TableContents"/>
              <w:bidi w:val="0"/>
              <w:spacing w:before="0" w:after="283"/>
              <w:jc w:val="left"/>
              <w:rPr/>
            </w:pPr>
            <w:r>
              <w:rPr/>
              <w:t> </w:t>
            </w:r>
          </w:p>
        </w:tc>
        <w:tc>
          <w:tcPr>
            <w:tcW w:w="165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sz w:val="20"/>
              </w:rPr>
            </w:pPr>
            <w:bookmarkStart w:id="19" w:name="xdx_906_edei--TradingSymbol_c20250903__2"/>
            <w:bookmarkEnd w:id="19"/>
            <w:r>
              <w:rPr>
                <w:rFonts w:ascii="Times New Roman;Times;Serif" w:hAnsi="Times New Roman;Times;Serif"/>
                <w:b/>
                <w:sz w:val="20"/>
              </w:rPr>
              <w:t>XPON</w:t>
            </w:r>
          </w:p>
        </w:tc>
        <w:tc>
          <w:tcPr>
            <w:tcW w:w="60" w:type="dxa"/>
            <w:tcBorders/>
            <w:vAlign w:val="center"/>
          </w:tcPr>
          <w:p>
            <w:pPr>
              <w:pStyle w:val="TableContents"/>
              <w:bidi w:val="0"/>
              <w:spacing w:before="0" w:after="283"/>
              <w:jc w:val="left"/>
              <w:rPr/>
            </w:pPr>
            <w:r>
              <w:rPr/>
              <w:t> </w:t>
            </w:r>
          </w:p>
        </w:tc>
        <w:tc>
          <w:tcPr>
            <w:tcW w:w="3755" w:type="dxa"/>
            <w:tcBorders>
              <w:top w:val="single" w:sz="8" w:space="0" w:color="000000"/>
            </w:tcBorders>
            <w:tcMar>
              <w:top w:w="28" w:type="dxa"/>
            </w:tcMar>
            <w:vAlign w:val="center"/>
          </w:tcPr>
          <w:p>
            <w:pPr>
              <w:pStyle w:val="TableContents"/>
              <w:bidi w:val="0"/>
              <w:spacing w:before="0" w:after="283"/>
              <w:jc w:val="center"/>
              <w:rPr/>
            </w:pPr>
            <w:r>
              <w:rPr>
                <w:rFonts w:ascii="Times New Roman;Times;Serif" w:hAnsi="Times New Roman;Times;Serif"/>
                <w:b/>
                <w:sz w:val="20"/>
              </w:rPr>
              <w:t xml:space="preserve">The </w:t>
            </w:r>
            <w:bookmarkStart w:id="20" w:name="xdx_901_edei--SecurityExchangeName_c2025"/>
            <w:bookmarkEnd w:id="20"/>
            <w:r>
              <w:rPr>
                <w:rFonts w:ascii="Times New Roman;Times;Serif" w:hAnsi="Times New Roman;Times;Serif"/>
                <w:b/>
                <w:sz w:val="20"/>
              </w:rPr>
              <w:t>Nasdaq</w:t>
            </w:r>
            <w:r>
              <w:rPr/>
              <w:t> </w:t>
            </w:r>
            <w:r>
              <w:rPr>
                <w:rFonts w:ascii="Times New Roman;Times;Serif" w:hAnsi="Times New Roman;Times;Serif"/>
                <w:b/>
                <w:sz w:val="20"/>
              </w:rPr>
              <w:t>Capital Market</w:t>
            </w:r>
          </w:p>
        </w:tc>
      </w:tr>
    </w:tbl>
    <w:p>
      <w:pPr>
        <w:pStyle w:val="TextBody"/>
        <w:bidi w:val="0"/>
        <w:ind w:left="360" w:right="0" w:hanging="360"/>
        <w:jc w:val="left"/>
        <w:rPr>
          <w:caps w:val="false"/>
          <w:smallCaps w:val="false"/>
        </w:rPr>
      </w:pPr>
      <w:r>
        <w:rPr>
          <w:caps w:val="false"/>
          <w:smallCaps w:val="false"/>
        </w:rPr>
        <w:t> </w:t>
      </w:r>
    </w:p>
    <w:p>
      <w:pPr>
        <w:pStyle w:val="TextBody"/>
        <w:bidi w:val="0"/>
        <w:spacing w:before="100" w:after="10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 240.12b-2 of this chapter).</w:t>
      </w:r>
    </w:p>
    <w:p>
      <w:pPr>
        <w:pStyle w:val="TextBody"/>
        <w:bidi w:val="0"/>
        <w:spacing w:before="100" w:after="10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[X]</w:t>
      </w:r>
    </w:p>
    <w:p>
      <w:pPr>
        <w:pStyle w:val="TextBody"/>
        <w:bidi w:val="0"/>
        <w:spacing w:before="100" w:after="100"/>
        <w:ind w:left="100" w:right="10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w:t>
      </w:r>
      <w:bookmarkStart w:id="22" w:name="xdx_901_edei--EntityExTransitionPeriod_d"/>
      <w:bookmarkEnd w:id="22"/>
      <w:r>
        <w:rPr>
          <w:rFonts w:ascii="Times New Roman;Times;Serif" w:hAnsi="Times New Roman;Times;Serif"/>
          <w:b w:val="false"/>
          <w:i w:val="false"/>
          <w:caps w:val="false"/>
          <w:smallCaps w:val="false"/>
          <w:sz w:val="20"/>
        </w:rPr>
        <w:t xml:space="preserve"> [  ]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10205" w:type="dxa"/>
        <w:jc w:val="left"/>
        <w:tblInd w:w="0" w:type="dxa"/>
        <w:tblLayout w:type="fixed"/>
        <w:tblCellMar>
          <w:top w:w="0" w:type="dxa"/>
          <w:left w:w="0" w:type="dxa"/>
          <w:bottom w:w="0" w:type="dxa"/>
          <w:right w:w="0" w:type="dxa"/>
        </w:tblCellMar>
      </w:tblPr>
      <w:tblGrid>
        <w:gridCol w:w="75"/>
        <w:gridCol w:w="734"/>
        <w:gridCol w:w="9396"/>
      </w:tblGrid>
      <w:tr>
        <w:trPr/>
        <w:tc>
          <w:tcPr>
            <w:tcW w:w="75" w:type="dxa"/>
            <w:tcBorders/>
            <w:vAlign w:val="center"/>
          </w:tcPr>
          <w:p>
            <w:pPr>
              <w:pStyle w:val="TableContents"/>
              <w:bidi w:val="0"/>
              <w:spacing w:before="0" w:after="283"/>
              <w:jc w:val="left"/>
              <w:rPr/>
            </w:pPr>
            <w:r>
              <w:rPr/>
              <w:t> </w:t>
            </w:r>
          </w:p>
        </w:tc>
        <w:tc>
          <w:tcPr>
            <w:tcW w:w="734"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39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Resignation of Interim Chief Financial Officer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3, 2025, Brian Schaffner, the Chief Executive Officer, Interim Chief Financial Officer, and Director of Expion360 Inc. (the “Company”), is resigning from his role as Interim Chief Financial Officer of the Company. Mr. Schaffner will continue to perform his duties as Chief Executive Officer and as a member of the board of directors (the “Board”) of the Company.    </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Appointment of Chief Financial Officer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Schaffner’s resignation, the Board appointed Shawna Bowin, who currently serves as the Company’s Controller, to serve as the Company’s Chief Financial Officer, effective immediately upon Mr. Schaffner’s resignation. In this role, Ms. Bowin will serve as the Company’s principal financial officer.</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Bowin, age 48, brings over 20 years of experience in accounting. Ms. Bowin joined the Company in January 2022 as Senior Accountant and was promoted to Controller in February 2025. Her prior experience includes serving as Accounting Manager at Hodge Western Corp. from 2021 to 2022, and as Office Manager overseeing all accounting duties at JTS Animal Bedding from 2014 to 2021. Ms. Bowin previously held several accounting-related roles from 2001 to 2014 at American Licorice Company, a large privately held manufacturing company. Ms. Bowin holds a Bachelor of Science in Accounting from Linfield College, and is currently pursuing a Master of Business Administration with a concentration in Accounting from Louisiana State University – Shreveport’s College of Business.</w:t>
      </w:r>
    </w:p>
    <w:p>
      <w:pPr>
        <w:pStyle w:val="TextBody"/>
        <w:bidi w:val="0"/>
        <w:jc w:val="both"/>
        <w:rPr>
          <w:caps w:val="false"/>
          <w:smallCaps w:val="false"/>
        </w:rPr>
      </w:pPr>
      <w:r>
        <w:rPr>
          <w:caps w:val="false"/>
          <w:smallCaps w:val="false"/>
        </w:rPr>
        <w:t> </w:t>
      </w:r>
    </w:p>
    <w:p>
      <w:pPr>
        <w:pStyle w:val="TextBody"/>
        <w:bidi w:val="0"/>
        <w:ind w:left="40" w:right="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her appointment as Chief Financial Officer, Ms. Bowin entered into an employment agreement with the Company (the “Employment Agreement”), effective September 3, 2025. Under the terms of the Employment Agreement, Ms. Bowin has an initial one-year employment term, and is entitled to a base salary of $192,000. In addition, Ms. Bowin is receiving a special, one-time bonus in the amount of $192,000 in connection with her appointment as Chief Financial Officer and in recognition of her performance as Controller prior to her appointment as Chief Financial Officer during 2025. Ms. Bowin is also eligible for an annual bonus to be granted by the Board or compensation committee of the Board based on performance objectives and targets established annually. In addition, under the Employment Agreement, Ms. Bowin is entitled to participate in the Company’s 2021 Incentive Award Plan and in any retirement, paid time off, and health and welfare benefit plans, practices, policies and arrangements the Company may offer. Under the Employment Agreement, Ms. Bowin is also entitled to reimbursement for reasonable business and travel expenses incurred in connection with the performance of her duties. The Employment Agreement provides for the Company to indemnify and hold Ms. Bowin harmless from and against claims and expenses imposed on or asserted against Ms. Bowin that arise out of or related to her service as an officer of the Company. The Employment Agreement includes restrictive covenants, including a one-year non-competition provision, a one-year non-solicitation and non-disparagement provision, and a confidentiality provision.</w:t>
      </w:r>
    </w:p>
    <w:p>
      <w:pPr>
        <w:pStyle w:val="TextBody"/>
        <w:bidi w:val="0"/>
        <w:jc w:val="both"/>
        <w:rPr>
          <w:caps w:val="false"/>
          <w:smallCaps w:val="false"/>
        </w:rPr>
      </w:pPr>
      <w:r>
        <w:rPr>
          <w:caps w:val="false"/>
          <w:smallCaps w:val="false"/>
        </w:rPr>
        <w:t> </w:t>
      </w:r>
    </w:p>
    <w:p>
      <w:pPr>
        <w:pStyle w:val="TextBody"/>
        <w:bidi w:val="0"/>
        <w:ind w:left="40" w:right="4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Employment Agreement does not purport to be complete and is subject to and qualified in its entirety by reference to the full and complete text of the Employment Agreement, which will be attached as an exhibit to the Company’s Quarterly Report on Form 10-Q for the quarter ending September 30, 2025.</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arrangements or understandings between Ms. Bowin and any other person pursuant to which she was appointed as Chief Financial Officer. There are no family relationships between Ms. Bowin and any director or executive officer. Except for her employment relationship with the Company and the compensation arrangements arising in connection therewith, there are no relationships involving Ms. Bowin that are required to be reported pursuant to Item 404(a) of Regulation S-K. </w:t>
      </w:r>
    </w:p>
    <w:p>
      <w:pPr>
        <w:pStyle w:val="TextBody"/>
        <w:bidi w:val="0"/>
        <w:jc w:val="both"/>
        <w:rPr>
          <w:caps w:val="false"/>
          <w:smallCaps w:val="false"/>
        </w:rPr>
      </w:pPr>
      <w:r>
        <w:rPr>
          <w:caps w:val="false"/>
          <w:smallCaps w:val="false"/>
        </w:rPr>
        <w:t> </w:t>
      </w:r>
    </w:p>
    <w:tbl>
      <w:tblPr>
        <w:tblW w:w="3708" w:type="dxa"/>
        <w:jc w:val="left"/>
        <w:tblInd w:w="0" w:type="dxa"/>
        <w:tblLayout w:type="fixed"/>
        <w:tblCellMar>
          <w:top w:w="0" w:type="dxa"/>
          <w:left w:w="0" w:type="dxa"/>
          <w:bottom w:w="0" w:type="dxa"/>
          <w:right w:w="0" w:type="dxa"/>
        </w:tblCellMar>
      </w:tblPr>
      <w:tblGrid>
        <w:gridCol w:w="38"/>
        <w:gridCol w:w="965"/>
        <w:gridCol w:w="2705"/>
      </w:tblGrid>
      <w:tr>
        <w:trPr/>
        <w:tc>
          <w:tcPr>
            <w:tcW w:w="38"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b/>
              </w:rPr>
            </w:pPr>
            <w:r>
              <w:rPr>
                <w:b/>
              </w:rPr>
              <w:t>Item 7.01</w:t>
            </w:r>
          </w:p>
        </w:tc>
        <w:tc>
          <w:tcPr>
            <w:tcW w:w="2705" w:type="dxa"/>
            <w:tcBorders/>
            <w:vAlign w:val="center"/>
          </w:tcPr>
          <w:p>
            <w:pPr>
              <w:pStyle w:val="TableContents"/>
              <w:bidi w:val="0"/>
              <w:spacing w:before="0" w:after="283"/>
              <w:jc w:val="both"/>
              <w:rPr>
                <w:b/>
              </w:rPr>
            </w:pPr>
            <w:r>
              <w:rPr>
                <w:b/>
              </w:rPr>
              <w:t>Regulation FD Disclosure.</w:t>
            </w:r>
          </w:p>
        </w:tc>
      </w:tr>
    </w:tbl>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2025, the Company issued a press release announcing Mr. Schaffner’s resignation as interim Chief Financial Officer and Ms. Bowin’s appointment as Chief Financial Officer as discussed in Item 5.02 herein. A copy of the press release is attached as Exhibit 99.1 hereto and is incorporated herein by reference in its entirety.</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provided in this Item 7.01 and Exhibit 99.1 is being furnished and shall not be deemed “filed” for purposes of Section 18 of the Securities Exchange Act of 1934, as amended (the “Exchange Act”), or otherwise subject to the liabilities of that section. Such information shall not be deemed incorporated by reference into any filing of the Company under the Securities Act of 1933, as amended, or the Exchange Act, whether made before or after the date hereof, regardless of any general incorporation language in such filing, except as otherwise expressly set forth by specific reference in such filing.</w:t>
      </w:r>
    </w:p>
    <w:p>
      <w:pPr>
        <w:pStyle w:val="TextBody"/>
        <w:bidi w:val="0"/>
        <w:jc w:val="both"/>
        <w:rPr>
          <w:caps w:val="false"/>
          <w:smallCaps w:val="false"/>
        </w:rPr>
      </w:pPr>
      <w:r>
        <w:rPr>
          <w:caps w:val="false"/>
          <w:smallCaps w:val="false"/>
        </w:rPr>
        <w:t> </w:t>
      </w:r>
    </w:p>
    <w:p>
      <w:pPr>
        <w:pStyle w:val="TextBody"/>
        <w:bidi w:val="0"/>
        <w:jc w:val="both"/>
        <w:rPr>
          <w:caps w:val="false"/>
          <w:smallCaps w:val="false"/>
        </w:rPr>
      </w:pPr>
      <w:r>
        <w:rPr>
          <w:caps w:val="false"/>
          <w:smallCaps w:val="false"/>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both"/>
              <w:rPr>
                <w:b/>
              </w:rPr>
            </w:pPr>
            <w:r>
              <w:rPr>
                <w:b/>
              </w:rPr>
              <w:t>Financial Statements and Exhibits.</w:t>
            </w:r>
          </w:p>
        </w:tc>
      </w:tr>
    </w:tbl>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jc w:val="both"/>
        <w:rPr>
          <w:caps w:val="false"/>
          <w:smallCaps w:val="false"/>
        </w:rPr>
      </w:pPr>
      <w:r>
        <w:rPr>
          <w:caps w:val="false"/>
          <w:smallCaps w:val="false"/>
        </w:rPr>
        <w:t> </w:t>
      </w:r>
    </w:p>
    <w:tbl>
      <w:tblPr>
        <w:tblW w:w="7255" w:type="dxa"/>
        <w:jc w:val="left"/>
        <w:tblInd w:w="0" w:type="dxa"/>
        <w:tblLayout w:type="fixed"/>
        <w:tblCellMar>
          <w:top w:w="0" w:type="dxa"/>
          <w:left w:w="0" w:type="dxa"/>
          <w:bottom w:w="28" w:type="dxa"/>
          <w:right w:w="0" w:type="dxa"/>
        </w:tblCellMar>
      </w:tblPr>
      <w:tblGrid>
        <w:gridCol w:w="665"/>
        <w:gridCol w:w="60"/>
        <w:gridCol w:w="6530"/>
      </w:tblGrid>
      <w:tr>
        <w:trPr/>
        <w:tc>
          <w:tcPr>
            <w:tcW w:w="665" w:type="dxa"/>
            <w:tcBorders>
              <w:bottom w:val="single" w:sz="8" w:space="0" w:color="000000"/>
            </w:tcBorders>
            <w:vAlign w:val="center"/>
          </w:tcPr>
          <w:p>
            <w:pPr>
              <w:pStyle w:val="TableContents"/>
              <w:bidi w:val="0"/>
              <w:spacing w:before="0" w:after="283"/>
              <w:jc w:val="both"/>
              <w:rPr>
                <w:b/>
                <w:sz w:val="20"/>
              </w:rPr>
            </w:pPr>
            <w:r>
              <w:rPr>
                <w:b/>
                <w:sz w:val="20"/>
              </w:rPr>
              <w:t>Exhibit</w:t>
              <w:br/>
              <w:t>No.</w:t>
            </w:r>
          </w:p>
        </w:tc>
        <w:tc>
          <w:tcPr>
            <w:tcW w:w="60" w:type="dxa"/>
            <w:tcBorders/>
            <w:tcMar>
              <w:bottom w:w="0" w:type="dxa"/>
            </w:tcMar>
            <w:vAlign w:val="center"/>
          </w:tcPr>
          <w:p>
            <w:pPr>
              <w:pStyle w:val="TableContents"/>
              <w:bidi w:val="0"/>
              <w:spacing w:before="0" w:after="283"/>
              <w:jc w:val="both"/>
              <w:rPr/>
            </w:pPr>
            <w:r>
              <w:rPr/>
              <w:t> </w:t>
            </w:r>
          </w:p>
        </w:tc>
        <w:tc>
          <w:tcPr>
            <w:tcW w:w="6530" w:type="dxa"/>
            <w:tcBorders>
              <w:bottom w:val="single" w:sz="8" w:space="0" w:color="000000"/>
            </w:tcBorders>
            <w:vAlign w:val="center"/>
          </w:tcPr>
          <w:p>
            <w:pPr>
              <w:pStyle w:val="TableContents"/>
              <w:bidi w:val="0"/>
              <w:spacing w:before="0" w:after="283"/>
              <w:jc w:val="both"/>
              <w:rPr>
                <w:b/>
                <w:sz w:val="20"/>
              </w:rPr>
            </w:pPr>
            <w:r>
              <w:rPr>
                <w:b/>
                <w:sz w:val="20"/>
              </w:rPr>
              <w:t>Description</w:t>
            </w:r>
          </w:p>
        </w:tc>
      </w:tr>
      <w:tr>
        <w:trPr/>
        <w:tc>
          <w:tcPr>
            <w:tcW w:w="6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53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both"/>
              <w:rPr/>
            </w:pPr>
            <w:hyperlink w:anchor="ex99_1.htm">
              <w:r>
                <w:rPr>
                  <w:rStyle w:val="InternetLink"/>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6530" w:type="dxa"/>
            <w:tcBorders/>
            <w:tcMar>
              <w:bottom w:w="0" w:type="dxa"/>
            </w:tcMar>
            <w:vAlign w:val="center"/>
          </w:tcPr>
          <w:p>
            <w:pPr>
              <w:pStyle w:val="TableContents"/>
              <w:bidi w:val="0"/>
              <w:spacing w:before="0" w:after="283"/>
              <w:jc w:val="both"/>
              <w:rPr/>
            </w:pPr>
            <w:hyperlink w:anchor="ex99_1.htm">
              <w:r>
                <w:rPr>
                  <w:rStyle w:val="InternetLink"/>
                  <w:sz w:val="20"/>
                </w:rPr>
                <w:t>Press Release, dated September 8, 2025.</w:t>
              </w:r>
            </w:hyperlink>
          </w:p>
        </w:tc>
      </w:tr>
      <w:tr>
        <w:trPr/>
        <w:tc>
          <w:tcPr>
            <w:tcW w:w="665" w:type="dxa"/>
            <w:tcBorders/>
            <w:tcMar>
              <w:bottom w:w="0" w:type="dxa"/>
            </w:tcMar>
            <w:vAlign w:val="center"/>
          </w:tcPr>
          <w:p>
            <w:pPr>
              <w:pStyle w:val="TableContents"/>
              <w:bidi w:val="0"/>
              <w:spacing w:before="0" w:after="283"/>
              <w:jc w:val="both"/>
              <w:rPr/>
            </w:pPr>
            <w:r>
              <w:rPr/>
              <w:t> </w:t>
            </w:r>
          </w:p>
        </w:tc>
        <w:tc>
          <w:tcPr>
            <w:tcW w:w="60" w:type="dxa"/>
            <w:tcBorders/>
            <w:tcMar>
              <w:bottom w:w="0" w:type="dxa"/>
            </w:tcMar>
            <w:vAlign w:val="center"/>
          </w:tcPr>
          <w:p>
            <w:pPr>
              <w:pStyle w:val="TableContents"/>
              <w:bidi w:val="0"/>
              <w:spacing w:before="0" w:after="283"/>
              <w:jc w:val="both"/>
              <w:rPr/>
            </w:pPr>
            <w:r>
              <w:rPr/>
              <w:t> </w:t>
            </w:r>
          </w:p>
        </w:tc>
        <w:tc>
          <w:tcPr>
            <w:tcW w:w="6530" w:type="dxa"/>
            <w:tcBorders/>
            <w:tcMar>
              <w:bottom w:w="0" w:type="dxa"/>
            </w:tcMar>
            <w:vAlign w:val="center"/>
          </w:tcPr>
          <w:p>
            <w:pPr>
              <w:pStyle w:val="TableContents"/>
              <w:bidi w:val="0"/>
              <w:spacing w:before="0" w:after="283"/>
              <w:jc w:val="both"/>
              <w:rPr/>
            </w:pPr>
            <w:r>
              <w:rPr/>
              <w:t> </w:t>
            </w:r>
          </w:p>
        </w:tc>
      </w:tr>
      <w:tr>
        <w:trPr/>
        <w:tc>
          <w:tcPr>
            <w:tcW w:w="665" w:type="dxa"/>
            <w:tcBorders/>
            <w:tcMar>
              <w:bottom w:w="0" w:type="dxa"/>
            </w:tcMar>
            <w:vAlign w:val="center"/>
          </w:tcPr>
          <w:p>
            <w:pPr>
              <w:pStyle w:val="TableContents"/>
              <w:bidi w:val="0"/>
              <w:spacing w:before="0" w:after="283"/>
              <w:jc w:val="both"/>
              <w:rPr>
                <w:sz w:val="20"/>
              </w:rPr>
            </w:pPr>
            <w:r>
              <w:rPr>
                <w:sz w:val="20"/>
              </w:rPr>
              <w:t>104</w:t>
            </w:r>
          </w:p>
        </w:tc>
        <w:tc>
          <w:tcPr>
            <w:tcW w:w="60" w:type="dxa"/>
            <w:tcBorders/>
            <w:tcMar>
              <w:bottom w:w="0" w:type="dxa"/>
            </w:tcMar>
            <w:vAlign w:val="center"/>
          </w:tcPr>
          <w:p>
            <w:pPr>
              <w:pStyle w:val="TableContents"/>
              <w:bidi w:val="0"/>
              <w:spacing w:before="0" w:after="283"/>
              <w:jc w:val="both"/>
              <w:rPr/>
            </w:pPr>
            <w:r>
              <w:rPr/>
              <w:t> </w:t>
            </w:r>
          </w:p>
        </w:tc>
        <w:tc>
          <w:tcPr>
            <w:tcW w:w="653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lineRule="auto" w:line="288"/>
        <w:ind w:left="0" w:right="0" w:firstLine="720"/>
        <w:jc w:val="both"/>
        <w:rPr>
          <w:caps w:val="false"/>
          <w:smallCaps w:val="false"/>
        </w:rPr>
      </w:pPr>
      <w:r>
        <w:rPr>
          <w:caps w:val="false"/>
          <w:smallCaps w:val="false"/>
        </w:rPr>
        <w:t> </w:t>
      </w:r>
    </w:p>
    <w:p>
      <w:pPr>
        <w:pStyle w:val="TextBody"/>
        <w:bidi w:val="0"/>
        <w:spacing w:lineRule="auto" w:line="288"/>
        <w:jc w:val="center"/>
        <w:rPr>
          <w:caps w:val="false"/>
          <w:smallCaps w:val="false"/>
        </w:rPr>
      </w:pPr>
      <w:r>
        <w:rPr>
          <w:caps w:val="false"/>
          <w:smallCaps w:val="false"/>
        </w:rPr>
        <w:t> </w:t>
      </w:r>
      <w:r>
        <w:rPr>
          <w:rFonts w:ascii="Times New Roman;Times;Serif" w:hAnsi="Times New Roman;Times;Serif"/>
          <w:b/>
          <w:i w:val="false"/>
          <w:caps w:val="false"/>
          <w:smallCaps w:val="false"/>
          <w:sz w:val="20"/>
        </w:rPr>
        <w:t>SIGNATURES</w:t>
      </w:r>
    </w:p>
    <w:p>
      <w:pPr>
        <w:pStyle w:val="TextBody"/>
        <w:bidi w:val="0"/>
        <w:spacing w:lineRule="auto" w:line="288"/>
        <w:jc w:val="center"/>
        <w:rPr>
          <w:caps w:val="false"/>
          <w:smallCaps w:val="false"/>
        </w:rPr>
      </w:pPr>
      <w:r>
        <w:rPr>
          <w:caps w:val="false"/>
          <w:smallCaps w:val="false"/>
        </w:rPr>
        <w:t> </w:t>
      </w:r>
    </w:p>
    <w:p>
      <w:pPr>
        <w:pStyle w:val="TextBody"/>
        <w:shd w:fill="FFFFFF" w:val="clear"/>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140"/>
        <w:jc w:val="left"/>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2030"/>
        <w:gridCol w:w="545"/>
        <w:gridCol w:w="1955"/>
      </w:tblGrid>
      <w:tr>
        <w:trPr/>
        <w:tc>
          <w:tcPr>
            <w:tcW w:w="203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EXPION360 INC.</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September 8, 2025</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vAlign w:val="center"/>
          </w:tcPr>
          <w:p>
            <w:pPr>
              <w:pStyle w:val="TableContents"/>
              <w:bidi w:val="0"/>
              <w:spacing w:before="0" w:after="283"/>
              <w:jc w:val="left"/>
              <w:rPr>
                <w:rFonts w:ascii="Times New Roman;Times;Serif" w:hAnsi="Times New Roman;Times;Serif"/>
                <w:i/>
                <w:sz w:val="20"/>
                <w:u w:val="single"/>
              </w:rPr>
            </w:pPr>
            <w:r>
              <w:rPr>
                <w:rFonts w:ascii="Times New Roman;Times;Serif" w:hAnsi="Times New Roman;Times;Serif"/>
                <w:i/>
                <w:sz w:val="20"/>
                <w:u w:val="single"/>
              </w:rPr>
              <w:t>/s/ Brian Schaffner</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Brian Schaffner</w:t>
            </w:r>
          </w:p>
        </w:tc>
      </w:tr>
      <w:tr>
        <w:trPr/>
        <w:tc>
          <w:tcPr>
            <w:tcW w:w="20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hanging="0"/>
        <w:jc w:val="right"/>
        <w:rPr>
          <w:rFonts w:ascii="Times New Roman;Times;Serif" w:hAnsi="Times New Roman;Times;Serif"/>
          <w:b/>
          <w:sz w:val="20"/>
        </w:rPr>
      </w:pPr>
      <w:bookmarkStart w:id="23" w:name="ex99_1.htm"/>
      <w:bookmarkStart w:id="24" w:name="ksex99_1"/>
      <w:bookmarkEnd w:id="23"/>
      <w:bookmarkEnd w:id="24"/>
      <w:r>
        <w:rPr>
          <w:rFonts w:ascii="Times New Roman;Times;Serif" w:hAnsi="Times New Roman;Times;Serif"/>
          <w:b/>
          <w:sz w:val="20"/>
        </w:rPr>
        <w:t>Exhibit 99.1</w:t>
      </w:r>
      <w:r>
        <w:br w:type="page"/>
      </w:r>
    </w:p>
    <w:p>
      <w:pPr>
        <w:pStyle w:val="TextBody"/>
        <w:bidi w:val="0"/>
        <w:spacing w:before="0" w:after="240"/>
        <w:ind w:left="0" w:right="0" w:hanging="0"/>
        <w:jc w:val="center"/>
        <w:rPr/>
      </w:pPr>
      <w:r>
        <w:rPr/>
        <w:drawing>
          <wp:inline distT="0" distB="0" distL="0" distR="0">
            <wp:extent cx="3752850" cy="342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342900"/>
                    </a:xfrm>
                    <a:prstGeom prst="rect">
                      <a:avLst/>
                    </a:prstGeom>
                  </pic:spPr>
                </pic:pic>
              </a:graphicData>
            </a:graphic>
          </wp:inline>
        </w:drawing>
      </w:r>
    </w:p>
    <w:p>
      <w:pPr>
        <w:pStyle w:val="TextBody"/>
        <w:bidi w:val="0"/>
        <w:spacing w:before="0" w:after="240"/>
        <w:ind w:left="450" w:right="450" w:hanging="0"/>
        <w:jc w:val="center"/>
        <w:rPr>
          <w:rFonts w:ascii="Times New Roman;Times;Serif" w:hAnsi="Times New Roman;Times;Serif"/>
          <w:b/>
          <w:color w:val="232A31"/>
          <w:sz w:val="20"/>
        </w:rPr>
      </w:pPr>
      <w:r>
        <w:rPr>
          <w:rFonts w:ascii="Times New Roman;Times;Serif" w:hAnsi="Times New Roman;Times;Serif"/>
          <w:b/>
          <w:color w:val="232A31"/>
          <w:sz w:val="20"/>
        </w:rPr>
        <w:t>Expion360 Appoints Shawna Bowin as Chief Financial Officer</w:t>
      </w:r>
    </w:p>
    <w:p>
      <w:pPr>
        <w:pStyle w:val="TextBody"/>
        <w:bidi w:val="0"/>
        <w:spacing w:before="0" w:after="240"/>
        <w:ind w:left="0" w:right="0" w:hanging="0"/>
        <w:jc w:val="center"/>
        <w:rPr>
          <w:rFonts w:ascii="Times New Roman;Times;Serif" w:hAnsi="Times New Roman;Times;Serif"/>
          <w:i/>
          <w:color w:val="232A31"/>
          <w:sz w:val="20"/>
        </w:rPr>
      </w:pPr>
      <w:r>
        <w:rPr>
          <w:rFonts w:ascii="Times New Roman;Times;Serif" w:hAnsi="Times New Roman;Times;Serif"/>
          <w:i/>
          <w:color w:val="232A31"/>
          <w:sz w:val="20"/>
        </w:rPr>
        <w:t>Veteran Financial and Accounting Professional to Lead Next Phase of Company Growth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REDMOND, OR – September 8, 2025 – </w:t>
      </w:r>
      <w:r>
        <w:rPr>
          <w:rFonts w:ascii="Times New Roman;Times;Serif" w:hAnsi="Times New Roman;Times;Serif"/>
          <w:sz w:val="20"/>
        </w:rPr>
        <w:t>Expion360 Inc.</w:t>
      </w:r>
      <w:r>
        <w:rPr>
          <w:rFonts w:ascii="Times New Roman;Times;Serif" w:hAnsi="Times New Roman;Times;Serif"/>
          <w:color w:val="1D2228"/>
          <w:sz w:val="20"/>
        </w:rPr>
        <w:t> </w:t>
      </w:r>
      <w:r>
        <w:rPr>
          <w:rFonts w:ascii="Times New Roman;Times;Serif" w:hAnsi="Times New Roman;Times;Serif"/>
          <w:sz w:val="20"/>
        </w:rPr>
        <w:t>(Nasdaq: XPON) (“Expion360” or the “Company”), an industry leader in lithium-ion battery power storage, today announced the appointment of Shawna Bowin, Controller of Expion360, as Chief Financial Officer of the Company, replacing Brian Schaffner, Chief Executive Officer, who has also been serving as the Company’s interim Chief Financial Officer.</w:t>
      </w:r>
    </w:p>
    <w:p>
      <w:pPr>
        <w:pStyle w:val="TextBody"/>
        <w:bidi w:val="0"/>
        <w:spacing w:before="0" w:after="2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Bowin is an accounting professional with over 20 years of progressive experience in accounting and a proven track record serving public and private companies. She joined Expion360 in 2022 as Senior Accountant, and has served as Controller since February 2025, where she has been responsible for overseeing all accounting operations, ensuring accurate financial reporting, maintaining compliance with legal and regulatory requirements, and supporting internal controls. Prior to joining Expion360, Ms. Bowin served as Accounting Manager at Hodge Western Corp., and also served in accounting-related roles with JTS Animal Bedding and American Licorice Company, a large privately held manufacturing company. Bowin holds a Bachelor of Science in Accounting from Linfield College and is pursuing a Master of Business Administration at Louisiana State University – Shreveport’s College of Business.</w:t>
      </w:r>
    </w:p>
    <w:p>
      <w:pPr>
        <w:pStyle w:val="TextBody"/>
        <w:bidi w:val="0"/>
        <w:spacing w:before="0" w:after="2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welcome Shawna to the position and are honored to have someone of her caliber and financial skill set serve as our Chief Financial Officer,” said Brian Schaffner, Chief Executive Officer. “Shawna’s leadership as Controller, especially guiding us through the complexities of annual audits, quarterly reviews and SEC reporting, makes her an ideal fit for the role. With her deep knowledge of our business and proven ability to navigate financial and regulatory requirements, I am confident she will excel in this new role. We look forward to her contributions as we continue to execute on our key growth initiatives, with a focus on expanding distribution and advancing our lithium-ion battery technology.”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About Expion360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Expion360 is an industry leader in premium lithium iron phosphate (LiFePO4) batteries and accessories for recreational vehicles, marine applications, Light EV and residential energy storage.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lithium-ion batteries feature half the weight of standard lead-acid batteries while delivering three times the power and ten times the number of charging cycles. Expion360 batteries also feature better construction and reliability compared to other lithium-ion batteries on the market due to their superior design and quality materials. Specially reinforced, fiberglass-infused, premium ABS and solid mechanical connections help provide top performance and safety. With Expion360 batteries, adventurers can enjoy the most beautiful and remote places on Earth even longer.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headquartered in Redmond, Oregon. Expion360 lithium-ion batteries are available today through more than 300 dealers, wholesalers, private-label customers, and OEMs across the country.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learn more about the Company, visit expion360.com.</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0" w:right="0" w:hanging="0"/>
        <w:jc w:val="both"/>
        <w:rPr>
          <w:rFonts w:ascii="Times New Roman;Times;Serif" w:hAnsi="Times New Roman;Times;Serif"/>
          <w:b/>
          <w:color w:val="0A0A0A"/>
          <w:sz w:val="20"/>
        </w:rPr>
      </w:pPr>
      <w:r>
        <w:rPr>
          <w:rFonts w:ascii="Times New Roman;Times;Serif" w:hAnsi="Times New Roman;Times;Serif"/>
          <w:b/>
          <w:color w:val="0A0A0A"/>
          <w:sz w:val="20"/>
        </w:rPr>
        <w:t xml:space="preserve">Forward-Looking Statements </w:t>
      </w:r>
    </w:p>
    <w:p>
      <w:pPr>
        <w:pStyle w:val="TextBody"/>
        <w:shd w:fill="FFFFFF" w:val="clear"/>
        <w:bidi w:val="0"/>
        <w:spacing w:before="0" w:after="240"/>
        <w:ind w:left="0" w:right="0" w:hanging="0"/>
        <w:jc w:val="both"/>
        <w:rPr>
          <w:rFonts w:ascii="Times New Roman;Times;Serif" w:hAnsi="Times New Roman;Times;Serif"/>
          <w:color w:val="0A0A0A"/>
          <w:sz w:val="20"/>
        </w:rPr>
      </w:pPr>
      <w:r>
        <w:rPr>
          <w:rFonts w:ascii="Times New Roman;Times;Serif" w:hAnsi="Times New Roman;Times;Serif"/>
          <w:color w:val="0A0A0A"/>
          <w:sz w:val="20"/>
        </w:rPr>
        <w:t>This press release contains “forward-looking statements” within the meaning of Section 27A of the Securities Act of 1933 and Section 21E of the Securities Exchange Act of 1934, each as amended. Forward-looking statements include all statements that do not relate solely to historical or current facts, including without limitation statements regarding the Company’s business prospects, and can be identified by the use of words such as “may,” “will,” “expect,” “project,” “estimate,” “anticipate,” “plan,” “believe,” “potential,” “should,” “continue” or the negative versions of those words or other comparable words. Forward-looking statements included in this press release include, but are not limited to, statements relating to the Chief Financial Officer transition; the Company’s ability to execute on its growth initiatives; and the Company’s future plans for its business and products. Forward-looking statements are not guarantees of future actions or performance. These forward-looking statements are based on information currently available to the Company and its current plans or expectations and are subject to a number of risks and uncertainties that could significantly affect current plans. Should one or more of these risks or uncertainties materialize, or the underlying assumptions prove incorrect, actual results may differ significantly from those anticipated, believed, estimated, expected, intended, or planned. Although the Company believes that the expectations reflected in the forward-looking statements are reasonable, the Company cannot guarantee future results, performance, or achievements. Except as required by applicable law, including the security laws of the United States, the Company does not intend to update any of the forward-looking statements to conform these statements to actual results.</w:t>
      </w:r>
    </w:p>
    <w:p>
      <w:pPr>
        <w:pStyle w:val="TextBody"/>
        <w:shd w:fill="FFFFFF" w:val="clear"/>
        <w:bidi w:val="0"/>
        <w:jc w:val="left"/>
        <w:rPr>
          <w:rFonts w:ascii="Times New Roman;Times;Serif" w:hAnsi="Times New Roman;Times;Serif"/>
          <w:b/>
          <w:sz w:val="20"/>
        </w:rPr>
      </w:pPr>
      <w:r>
        <w:rPr>
          <w:rFonts w:ascii="Times New Roman;Times;Serif" w:hAnsi="Times New Roman;Times;Serif"/>
          <w:b/>
          <w:sz w:val="20"/>
        </w:rPr>
        <w:t>Company Contact:</w:t>
      </w:r>
    </w:p>
    <w:p>
      <w:pPr>
        <w:pStyle w:val="TextBody"/>
        <w:shd w:fill="FFFFFF" w:val="clear"/>
        <w:bidi w:val="0"/>
        <w:jc w:val="left"/>
        <w:rPr>
          <w:rFonts w:ascii="Times New Roman;Times;Serif" w:hAnsi="Times New Roman;Times;Serif"/>
          <w:sz w:val="20"/>
        </w:rPr>
      </w:pPr>
      <w:r>
        <w:rPr>
          <w:rFonts w:ascii="Times New Roman;Times;Serif" w:hAnsi="Times New Roman;Times;Serif"/>
          <w:sz w:val="20"/>
        </w:rPr>
        <w:t>Brian Schaffner, CEO</w:t>
      </w:r>
    </w:p>
    <w:p>
      <w:pPr>
        <w:pStyle w:val="TextBody"/>
        <w:shd w:fill="FFFFFF" w:val="clear"/>
        <w:bidi w:val="0"/>
        <w:jc w:val="left"/>
        <w:rPr>
          <w:rFonts w:ascii="Times New Roman;Times;Serif" w:hAnsi="Times New Roman;Times;Serif"/>
          <w:sz w:val="20"/>
        </w:rPr>
      </w:pPr>
      <w:r>
        <w:rPr>
          <w:rFonts w:ascii="Times New Roman;Times;Serif" w:hAnsi="Times New Roman;Times;Serif"/>
          <w:sz w:val="20"/>
        </w:rPr>
        <w:t>541-797-6714</w:t>
      </w:r>
    </w:p>
    <w:p>
      <w:pPr>
        <w:pStyle w:val="TextBody"/>
        <w:bidi w:val="0"/>
        <w:jc w:val="left"/>
        <w:rPr>
          <w:rFonts w:ascii="Times New Roman;Times;Serif" w:hAnsi="Times New Roman;Times;Serif"/>
          <w:sz w:val="20"/>
        </w:rPr>
      </w:pPr>
      <w:r>
        <w:rPr>
          <w:rFonts w:ascii="Times New Roman;Times;Serif" w:hAnsi="Times New Roman;Times;Serif"/>
          <w:sz w:val="20"/>
        </w:rPr>
        <w:t>Email Contact</w:t>
      </w:r>
    </w:p>
    <w:p>
      <w:pPr>
        <w:pStyle w:val="TextBody"/>
        <w:bidi w:val="0"/>
        <w:spacing w:before="0" w:after="283"/>
        <w:jc w:val="left"/>
        <w:rPr/>
      </w:pPr>
      <w:r>
        <w:rPr/>
        <w:t> </w:t>
      </w:r>
    </w:p>
    <w:p>
      <w:pPr>
        <w:pStyle w:val="TextBody"/>
        <w:bidi w:val="0"/>
        <w:jc w:val="left"/>
        <w:rPr>
          <w:rFonts w:ascii="Times New Roman;Times;Serif" w:hAnsi="Times New Roman;Times;Serif"/>
          <w:b/>
          <w:sz w:val="20"/>
        </w:rPr>
      </w:pPr>
      <w:r>
        <w:rPr>
          <w:rFonts w:ascii="Times New Roman;Times;Serif" w:hAnsi="Times New Roman;Times;Serif"/>
          <w:b/>
          <w:sz w:val="20"/>
        </w:rPr>
        <w:t>External Investor Relations:</w:t>
      </w:r>
    </w:p>
    <w:p>
      <w:pPr>
        <w:pStyle w:val="TextBody"/>
        <w:bidi w:val="0"/>
        <w:jc w:val="left"/>
        <w:rPr>
          <w:rFonts w:ascii="Times New Roman;Times;Serif" w:hAnsi="Times New Roman;Times;Serif"/>
          <w:sz w:val="20"/>
        </w:rPr>
      </w:pPr>
      <w:r>
        <w:rPr>
          <w:rFonts w:ascii="Times New Roman;Times;Serif" w:hAnsi="Times New Roman;Times;Serif"/>
          <w:sz w:val="20"/>
        </w:rPr>
        <w:t>Chris Tyson, Executive Vice President</w:t>
      </w:r>
    </w:p>
    <w:p>
      <w:pPr>
        <w:pStyle w:val="TextBody"/>
        <w:bidi w:val="0"/>
        <w:jc w:val="left"/>
        <w:rPr>
          <w:rFonts w:ascii="Times New Roman;Times;Serif" w:hAnsi="Times New Roman;Times;Serif"/>
          <w:sz w:val="20"/>
        </w:rPr>
      </w:pPr>
      <w:r>
        <w:rPr>
          <w:rFonts w:ascii="Times New Roman;Times;Serif" w:hAnsi="Times New Roman;Times;Serif"/>
          <w:sz w:val="20"/>
        </w:rPr>
        <w:t>MZ Group - MZ North America</w:t>
      </w:r>
    </w:p>
    <w:p>
      <w:pPr>
        <w:pStyle w:val="TextBody"/>
        <w:bidi w:val="0"/>
        <w:jc w:val="left"/>
        <w:rPr>
          <w:rFonts w:ascii="Times New Roman;Times;Serif" w:hAnsi="Times New Roman;Times;Serif"/>
          <w:sz w:val="20"/>
        </w:rPr>
      </w:pPr>
      <w:r>
        <w:rPr>
          <w:rFonts w:ascii="Times New Roman;Times;Serif" w:hAnsi="Times New Roman;Times;Serif"/>
          <w:sz w:val="20"/>
        </w:rPr>
        <w:t>949-491-8235</w:t>
      </w:r>
    </w:p>
    <w:p>
      <w:pPr>
        <w:pStyle w:val="TextBody"/>
        <w:bidi w:val="0"/>
        <w:jc w:val="left"/>
        <w:rPr>
          <w:rFonts w:ascii="Times New Roman;Times;Serif" w:hAnsi="Times New Roman;Times;Serif"/>
          <w:sz w:val="20"/>
        </w:rPr>
      </w:pPr>
      <w:r>
        <w:rPr>
          <w:rFonts w:ascii="Times New Roman;Times;Serif" w:hAnsi="Times New Roman;Times;Serif"/>
          <w:sz w:val="20"/>
        </w:rPr>
        <w:t>XPON@mzgroup.us</w:t>
      </w:r>
    </w:p>
    <w:p>
      <w:pPr>
        <w:pStyle w:val="TextBody"/>
        <w:bidi w:val="0"/>
        <w:jc w:val="left"/>
        <w:rPr>
          <w:rFonts w:ascii="Times New Roman;Times;Serif" w:hAnsi="Times New Roman;Times;Serif"/>
          <w:sz w:val="20"/>
        </w:rPr>
      </w:pPr>
      <w:r>
        <w:rPr>
          <w:rFonts w:ascii="Times New Roman;Times;Serif" w:hAnsi="Times New Roman;Times;Serif"/>
          <w:sz w:val="20"/>
        </w:rPr>
        <w:t>www.mzgroup.us</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1924</Words>
  <Characters>11051</Characters>
  <CharactersWithSpaces>13012</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