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001-41347</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81"/>
        </w:trPr>
        <w:tc>
          <w:tcPr>
            <w:tcW w:w="308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r>
      <w:tr>
        <w:trPr>
          <w:trHeight w:val="50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 SW Deerhound Avenue</w:t>
            </w:r>
          </w:p>
        </w:tc>
        <w:tc>
          <w:tcPr>
            <w:tcW w:w="284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Redmond, OR 97756</w:t>
            </w:r>
          </w:p>
        </w:tc>
        <w:tc>
          <w:tcPr>
            <w:tcW w:w="284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3"/>
                <w:szCs w:val="23"/>
                <w:color w:val="auto"/>
              </w:rPr>
            </w:pPr>
          </w:p>
        </w:tc>
      </w:tr>
      <w:tr>
        <w:trPr>
          <w:trHeight w:val="43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(541) 797-6714</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480" w:firstLine="8"/>
        <w:spacing w:after="0" w:line="498"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9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7, 2024, Expion360 Inc. (the “Company”) entered into an underwriting agreement (the “Underwriting Agreement”) with Aegis Capital Corp. (the “Underwriter”), in connection with a firm commitment underwritten public offering (such transaction, the “Offering”) of 50,000,000 units (“Units”), each Unit consisting of one share (each, a “Share”) of the Company’s common stock, par value $0.001 per share (“Common Stock”), two Series A warrants each to purchase one share of Common Stock (each, a “Series A Warrant”) and one Series B Warrant to purchase such number of shares of Common Stock as determined in the Series B Warrant (each, a “Series B Warrant”).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Purchasers of Units whose purchase would otherwise have resulted in the purchaser’s beneficial ownership exceeding 4.99% of the Company’s outstanding Common Stock immediately following the closing of the Offering were able to purchase Units consisting of one pre-funded warrant to purchase one share of Common Stock (in lieu of one Share, each a “Pre-Funded Warrant”), two Series A Warrants and one Series B Warrant. Subject to limited exceptions, a holder of Pre-Funded Warrants does not have the right to exercise any portion of its Pre-Funded Warrants if the holder, together with its affiliates, would beneficially own in excess of 4.99% (or, at the election of the holder, such limit may be increased to up to 9.99%) of the number of shares of Common Stock outstanding immediately after giving effect to such exercise. Each Pre-Funded Warrant is exercisable for one share of Common Stock. The purchase price of each Unit including a Pre-Funded Warrant is equal to the price per Unit including one Share, minus $0.001, and the remaining exercise price of each Pre-Funded Warrant equals $0.001 per share. The Pre-Funded Warrants are immediately exercisable (subject to the beneficial ownership cap) and may be exercised at any time until all of the Pre-Funded Warrants are exercised in full. For each Unit including a Pre-Funded Warrant (without regard to any limitation on exercise set forth therein), the number of Units including a Share were offered decreased on a one-for-one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Units have no stand-alone rights and are not be certificated or issued as stand-alone securities.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Series A Warrant is exercisable at any time or times beginning on the first trading day following the Company’s notice to the Series A Warrant holders of Stockholder Approval (defined below), and will expire five years from such date. Each Series A Warrant is exercisable at an initial exercise price of $0.24 per share of Common Stock. On the 11th trading day after Stockholder Approval, the Series A Warrants’ exercise price will be reset to a price equal to the lower of (i) the exercise price then in effect and (ii) the greater of (a) the lowest daily weighted average price during the period commencing on the first trading day after the date of Stockholder Approval and ending following the close of trading on the tenth trading day thereafter and (b) a floor price determined in accordance with the terms of the Series A Warrants, and the number of shares issuable upon exercise will be increased such that the aggregate exercise price of the Series Warrant on the issuance date for the warrant shares then outstanding shall remain unchanged following such reset. Also after Stockholder Approval, the exercise price of the Series A Warrants will be reduced (such reduced price, the “Adjusted Exercise Price”) to a price equal to the lesser of (i) the exercise price then in effect and (ii) the lowest daily volume weighted average price during the period commencing five consecutive trading days immediately preceding through the five consecutive trading days commencing on the date the Company effects any share split, share dividend, share combination recapitalization or other similar transaction (which would include reverse stock splits) in the future (subject to a floor price determined in accordance with the terms of the Series A Warrants and the Nasdaq Listing Rules (the “Floor Price”)), with a proportionate adjustment to the number of shares underlying the Series A Warrants. Furthermore, if the Adjusted Exercise Price would have been below the Floor Price but for the Floor Price limitation, then the Company will make a payment to the Series A Warrant holder for the economic difference between the Adjusted Exercise Price and the Floor Price, subject to the exceptions and conditions set forth in the Series A Warrants. Finally, beginning on the date of Stockholder Approval, with certain exceptions, the Series A Warrants will provide for an adjustment to the exercise price and number of shares underlying the Series A Warrants upon the Company’s issuance of Common Stock or Common Stock equivalents at a price per share that is less than the exercise price of the Series A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Each Series B Warrant will be exercisable immediately at an exercise price per share of $0.001 per share. The exercise price and number of shares of Common Stock issuable under the Series B Warrants are subject to adjustment based on the weighted average price of Common Stock over a rolling five-trading-day period, subject to certain floor prices in accordance with the terms of the Series B Warrants.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adjustment provisions described in the above paragraphs included in the Series A Warrants and Series B Warrants will be available, in some cases, only upon receipt of such stockholder approval as may be required by the applicable rules and regulations of Nasdaq to permit the adjustment provisions described in the above paragraph included in the Series A Warrants and Series B Warrants and to increase the Company’s authorized Common Stock (“Stockholder Approval”). If the Company is unable to obtain Stockholder Approval, the Series A Warrants will not be exercisable and/or certain adjustment provisions described in the above paragraph will not be effective, and therefore the Series A Warrants and Series B Warrants may have substantially less value. The Shares and Pre-Funded Warrants were sold in the Offering only with the accompanying Series A Warrants and Series B Warrants that are part of a Unit, but the components of the Units are immediately separable and have been issued separately.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granted the Underwriter a 45-day option to purchase additional Shares and/or Pre-Funded Warrants and/or Series A Warrants and/or Series B Warrants, representing up to 15% of the number of the respective securities sold in the Offering, solely to cover over-allotments, if any. The Underwriter partially exercised its over-allotment option with respect to an additional 15,000,000 Series A Warrants and 7,500,000 Series B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closed on August 8, 2024. Of the 50,000,000 Units sold in the offering, 33,402,000 were issued with shares of Common Stock and 16,598,000 were issued with Pre-Funded Warrants.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after deducting underwriting discounts and commissions and estimated offering expenses payable by the Company, are approximately $8.7 million. The Company intends to use the net proceeds from the Offering to repay (i) an aggregate of approximately $0.7 million due to stockholders under certain unsecured promissory note agreements and (ii) approximately $2.7 million due under the senior convertible note issued to 3i, LP (the “3i Note”), as well as for working capital and general corporate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the Pre-Funded Warrants, the Series A Warrants and the Series B Warrants and the shares of Common Stock issuable upon exercise of the Pre-Funded Warrants, the Series A Warrants and the Series B Warrants described above, were offered by the Company pursuant to a Registration Statement on Form S-1 (File No. 333-280996), initially filed on July 25, 2024 with the Securities and Exchange Commission (the “SEC”) under the Securities Act of 1933, as amended (the “Securities Act”), as amended on August 2, 2024, and declared effective by the SEC on August 6,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and warranties, indemnification rights, agreements and obligations, conditions to closing and termination provisions. Under the terms of the Underwriting Agreement, the Underwriter received an underwriting discount of 7.0% to the public offering price of the Units. In addition, the Company agreed to (i) pay a non-accountable expense allowance to the Underwriter equal to 1.0% of the gross proceeds of the Offering and (ii) reimburse the Underwriter for certain out-of-pocket expenses, including, but not limited to, up to $100,000 for reasonable legal fees and disbursements for the Underwriter’s counsel.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terms and conditions of the Underwriting Agreement, the Shares, the Pre-Funded Warrants, the Series A Warrants and the Series B Warrants do not purport to be complete and are qualified in their entirety by the full text of the Underwriting Agreement, the form of the Pre-Funded Warrants, the form of the Series A Warrants and the form of the Series B Warrants, which are attached hereto as Exhibits 1.1, 4.1, 4.2, and 4.3, respectively, and are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of Senior Convertible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8, 2024, the Company repaid the 3i Note, and the Company’s obligations under the 3i Note were deemed fully satisfied and discharged. The information set forth above in Item 1.01 regarding the 3i Note is incorporated into this Item 1.02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Equity Line of Credit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Company and Tumim Stone Capital, LLC mutually agreed to terminate that certain Common Stock Purchase Agreement, dated December 27, 2023, pursuant to Section 8.2 thereof, effective immediately upon the closing of the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the Company issued a press release announcing the pricing of the Offering. On August 8, 2024, the Company issued a press release announcing the closing of the Offering. Copies of the press releases are attached as Exhibit 99.1 and Exhibit 99.2, respectively, to this Current Report on Form 8-K and are hereby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6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32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1.</w:t>
            </w:r>
            <w:r>
              <w:rPr>
                <w:rFonts w:ascii="Times New Roman" w:cs="Times New Roman" w:eastAsia="Times New Roman" w:hAnsi="Times New Roman"/>
                <w:sz w:val="18"/>
                <w:szCs w:val="18"/>
                <w:u w:val="single" w:color="auto"/>
                <w:color w:val="0000EE"/>
                <w:w w:val="95"/>
              </w:rPr>
              <w:t>1*</w:t>
            </w: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Underwriting Agreement</w:t>
            </w:r>
          </w:p>
        </w:tc>
        <w:tc>
          <w:tcPr>
            <w:tcW w:w="8160" w:type="dxa"/>
            <w:vAlign w:val="bottom"/>
            <w:tcBorders>
              <w:top w:val="single" w:sz="8" w:color="auto"/>
              <w:bottom w:val="single" w:sz="8" w:color="CCEEFF"/>
            </w:tcBorders>
            <w:gridSpan w:val="6"/>
            <w:shd w:val="clear" w:color="auto" w:fill="CCEEFF"/>
          </w:tcPr>
          <w:p>
            <w:pPr>
              <w:spacing w:after="0"/>
              <w:rPr>
                <w:sz w:val="17"/>
                <w:szCs w:val="17"/>
                <w:color w:val="auto"/>
              </w:rPr>
            </w:pPr>
          </w:p>
        </w:tc>
      </w:tr>
      <w:tr>
        <w:trPr>
          <w:trHeight w:val="175"/>
        </w:trPr>
        <w:tc>
          <w:tcPr>
            <w:tcW w:w="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860" w:type="dxa"/>
            <w:vAlign w:val="bottom"/>
          </w:tcPr>
          <w:p>
            <w:pPr>
              <w:spacing w:after="0"/>
              <w:rPr>
                <w:sz w:val="15"/>
                <w:szCs w:val="15"/>
                <w:color w:val="auto"/>
              </w:rPr>
            </w:pPr>
          </w:p>
        </w:tc>
        <w:tc>
          <w:tcPr>
            <w:tcW w:w="10060" w:type="dxa"/>
            <w:vAlign w:val="bottom"/>
            <w:gridSpan w:val="8"/>
          </w:tcPr>
          <w:p>
            <w:pPr>
              <w:ind w:left="80"/>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6"/>
        </w:trPr>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9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Series A Warrant</w:t>
            </w:r>
          </w:p>
        </w:tc>
      </w:tr>
      <w:tr>
        <w:trPr>
          <w:trHeight w:val="176"/>
        </w:trPr>
        <w:tc>
          <w:tcPr>
            <w:tcW w:w="24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6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Series B Warrant</w:t>
            </w:r>
          </w:p>
        </w:tc>
        <w:tc>
          <w:tcPr>
            <w:tcW w:w="8120" w:type="dxa"/>
            <w:vAlign w:val="bottom"/>
            <w:tcBorders>
              <w:top w:val="single" w:sz="8" w:color="CCEEFF"/>
            </w:tcBorders>
            <w:gridSpan w:val="5"/>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9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Stradling Yocca Carlson &amp; Rauth LLP</w:t>
            </w: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60" w:type="dxa"/>
            <w:vAlign w:val="bottom"/>
          </w:tcPr>
          <w:p>
            <w:pPr>
              <w:spacing w:after="0"/>
              <w:rPr>
                <w:sz w:val="15"/>
                <w:szCs w:val="15"/>
                <w:color w:val="auto"/>
              </w:rPr>
            </w:pPr>
          </w:p>
        </w:tc>
        <w:tc>
          <w:tcPr>
            <w:tcW w:w="10060" w:type="dxa"/>
            <w:vAlign w:val="bottom"/>
            <w:gridSpan w:val="8"/>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Consent of Stradling Yocca Carlson &amp; Rauth LLP (included in Exhibit 5.1)</w:t>
            </w: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August 7, 2024</w:t>
            </w:r>
          </w:p>
        </w:tc>
        <w:tc>
          <w:tcPr>
            <w:tcW w:w="740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3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August 8, 2024</w:t>
            </w:r>
          </w:p>
        </w:tc>
        <w:tc>
          <w:tcPr>
            <w:tcW w:w="7400" w:type="dxa"/>
            <w:vAlign w:val="bottom"/>
            <w:gridSpan w:val="3"/>
          </w:tcPr>
          <w:p>
            <w:pPr>
              <w:spacing w:after="0"/>
              <w:rPr>
                <w:sz w:val="15"/>
                <w:szCs w:val="15"/>
                <w:color w:val="auto"/>
              </w:rPr>
            </w:pPr>
          </w:p>
        </w:tc>
      </w:tr>
    </w:tbl>
    <w:p>
      <w:pPr>
        <w:spacing w:after="0" w:line="9" w:lineRule="exact"/>
        <w:rPr>
          <w:sz w:val="20"/>
          <w:szCs w:val="20"/>
          <w:color w:val="auto"/>
        </w:rPr>
      </w:pPr>
    </w:p>
    <w:p>
      <w:pPr>
        <w:ind w:left="1260" w:hanging="1252"/>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agrees to furnish a copy of all omitted schedules (or similar attachments)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9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EXPION360 INC.</w:t>
            </w:r>
          </w:p>
        </w:tc>
        <w:tc>
          <w:tcPr>
            <w:tcW w:w="13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9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Brian Schaffner</w:t>
            </w:r>
          </w:p>
        </w:tc>
      </w:tr>
      <w:tr>
        <w:trPr>
          <w:trHeight w:val="291"/>
        </w:trPr>
        <w:tc>
          <w:tcPr>
            <w:tcW w:w="3080" w:type="dxa"/>
            <w:vAlign w:val="bottom"/>
          </w:tcPr>
          <w:p>
            <w:pPr>
              <w:spacing w:after="0"/>
              <w:rPr>
                <w:sz w:val="24"/>
                <w:szCs w:val="24"/>
                <w:color w:val="auto"/>
              </w:rPr>
            </w:pPr>
          </w:p>
        </w:tc>
        <w:tc>
          <w:tcPr>
            <w:tcW w:w="29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Schaffner</w:t>
            </w:r>
          </w:p>
        </w:tc>
        <w:tc>
          <w:tcPr>
            <w:tcW w:w="382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29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11"/>
        </w:trPr>
        <w:tc>
          <w:tcPr>
            <w:tcW w:w="30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nderwriting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 27th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Expion360 Inc., a Nevada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agrees, subject to the terms and conditions in this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to issue and sell to Aegis Capital Corp. (the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an aggregate of 50,000,000 of the Company’s units (each, a “</w:t>
      </w:r>
      <w:r>
        <w:rPr>
          <w:rFonts w:ascii="Times New Roman" w:cs="Times New Roman" w:eastAsia="Times New Roman" w:hAnsi="Times New Roman"/>
          <w:sz w:val="18"/>
          <w:szCs w:val="18"/>
          <w:b w:val="1"/>
          <w:bCs w:val="1"/>
          <w:u w:val="single" w:color="auto"/>
          <w:color w:val="auto"/>
        </w:rPr>
        <w:t>Closing Unit</w:t>
      </w:r>
      <w:r>
        <w:rPr>
          <w:rFonts w:ascii="Times New Roman" w:cs="Times New Roman" w:eastAsia="Times New Roman" w:hAnsi="Times New Roman"/>
          <w:sz w:val="18"/>
          <w:szCs w:val="18"/>
          <w:color w:val="auto"/>
        </w:rPr>
        <w:t>”), with each Closing Unit consisting of either: (A) one (1) share of Common Stock, $0.001 par value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and two (2) Series A warrants (each, a “</w:t>
      </w:r>
      <w:r>
        <w:rPr>
          <w:rFonts w:ascii="Times New Roman" w:cs="Times New Roman" w:eastAsia="Times New Roman" w:hAnsi="Times New Roman"/>
          <w:sz w:val="18"/>
          <w:szCs w:val="18"/>
          <w:b w:val="1"/>
          <w:bCs w:val="1"/>
          <w:u w:val="single" w:color="auto"/>
          <w:color w:val="auto"/>
        </w:rPr>
        <w:t>Series A Warrant</w:t>
      </w:r>
      <w:r>
        <w:rPr>
          <w:rFonts w:ascii="Times New Roman" w:cs="Times New Roman" w:eastAsia="Times New Roman" w:hAnsi="Times New Roman"/>
          <w:sz w:val="18"/>
          <w:szCs w:val="18"/>
          <w:color w:val="auto"/>
        </w:rPr>
        <w:t>”), each to purchase one (1) share of Common Stock at a per Share exercise price of $0.24 and one (1) Series B warrant (each, a “</w:t>
      </w:r>
      <w:r>
        <w:rPr>
          <w:rFonts w:ascii="Times New Roman" w:cs="Times New Roman" w:eastAsia="Times New Roman" w:hAnsi="Times New Roman"/>
          <w:sz w:val="18"/>
          <w:szCs w:val="18"/>
          <w:b w:val="1"/>
          <w:bCs w:val="1"/>
          <w:u w:val="single" w:color="auto"/>
          <w:color w:val="auto"/>
        </w:rPr>
        <w:t>Series B Warrant</w:t>
      </w:r>
      <w:r>
        <w:rPr>
          <w:rFonts w:ascii="Times New Roman" w:cs="Times New Roman" w:eastAsia="Times New Roman" w:hAnsi="Times New Roman"/>
          <w:sz w:val="18"/>
          <w:szCs w:val="18"/>
          <w:color w:val="auto"/>
        </w:rPr>
        <w:t>” and, collectively with the Series A Warrants, the “</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to purchase such number of shares of Common Stock as determined on the Reset Date (as defined in the Series B Warrant), and in accordance with the terms therein (each, a “</w:t>
      </w:r>
      <w:r>
        <w:rPr>
          <w:rFonts w:ascii="Times New Roman" w:cs="Times New Roman" w:eastAsia="Times New Roman" w:hAnsi="Times New Roman"/>
          <w:sz w:val="18"/>
          <w:szCs w:val="18"/>
          <w:b w:val="1"/>
          <w:bCs w:val="1"/>
          <w:u w:val="single" w:color="auto"/>
          <w:color w:val="auto"/>
        </w:rPr>
        <w:t>Closing Common Unit</w:t>
      </w:r>
      <w:r>
        <w:rPr>
          <w:rFonts w:ascii="Times New Roman" w:cs="Times New Roman" w:eastAsia="Times New Roman" w:hAnsi="Times New Roman"/>
          <w:sz w:val="18"/>
          <w:szCs w:val="18"/>
          <w:color w:val="auto"/>
        </w:rPr>
        <w:t>”); or (B) one pre-funded warrant (each, a “</w:t>
      </w:r>
      <w:r>
        <w:rPr>
          <w:rFonts w:ascii="Times New Roman" w:cs="Times New Roman" w:eastAsia="Times New Roman" w:hAnsi="Times New Roman"/>
          <w:sz w:val="18"/>
          <w:szCs w:val="18"/>
          <w:b w:val="1"/>
          <w:bCs w:val="1"/>
          <w:u w:val="single" w:color="auto"/>
          <w:color w:val="auto"/>
        </w:rPr>
        <w:t>Pre-funded Warrant</w:t>
      </w:r>
      <w:r>
        <w:rPr>
          <w:rFonts w:ascii="Times New Roman" w:cs="Times New Roman" w:eastAsia="Times New Roman" w:hAnsi="Times New Roman"/>
          <w:sz w:val="18"/>
          <w:szCs w:val="18"/>
          <w:color w:val="auto"/>
        </w:rPr>
        <w:t>”) to purchase one (1) share of Common Stock at an exercise price of $0.001 and two (2) Series A Warrants and one (1) Series B Warrant (each, a “</w:t>
      </w:r>
      <w:r>
        <w:rPr>
          <w:rFonts w:ascii="Times New Roman" w:cs="Times New Roman" w:eastAsia="Times New Roman" w:hAnsi="Times New Roman"/>
          <w:sz w:val="18"/>
          <w:szCs w:val="18"/>
          <w:b w:val="1"/>
          <w:bCs w:val="1"/>
          <w:u w:val="single" w:color="auto"/>
          <w:color w:val="auto"/>
        </w:rPr>
        <w:t>Closing Pre-funded Unit</w:t>
      </w:r>
      <w:r>
        <w:rPr>
          <w:rFonts w:ascii="Times New Roman" w:cs="Times New Roman" w:eastAsia="Times New Roman" w:hAnsi="Times New Roman"/>
          <w:sz w:val="18"/>
          <w:szCs w:val="18"/>
          <w:color w:val="auto"/>
        </w:rPr>
        <w:t>”). The shares of Common Stock referred to in this Section are hereinafter referred to as the “</w:t>
      </w:r>
      <w:r>
        <w:rPr>
          <w:rFonts w:ascii="Times New Roman" w:cs="Times New Roman" w:eastAsia="Times New Roman" w:hAnsi="Times New Roman"/>
          <w:sz w:val="18"/>
          <w:szCs w:val="18"/>
          <w:b w:val="1"/>
          <w:bCs w:val="1"/>
          <w:u w:val="single" w:color="auto"/>
          <w:color w:val="auto"/>
        </w:rPr>
        <w:t>Closing Shares</w:t>
      </w:r>
      <w:r>
        <w:rPr>
          <w:rFonts w:ascii="Times New Roman" w:cs="Times New Roman" w:eastAsia="Times New Roman" w:hAnsi="Times New Roman"/>
          <w:sz w:val="18"/>
          <w:szCs w:val="18"/>
          <w:color w:val="auto"/>
        </w:rPr>
        <w:t>”; the Warrants referred to in this Section are hereinafter referred to as the “</w:t>
      </w:r>
      <w:r>
        <w:rPr>
          <w:rFonts w:ascii="Times New Roman" w:cs="Times New Roman" w:eastAsia="Times New Roman" w:hAnsi="Times New Roman"/>
          <w:sz w:val="18"/>
          <w:szCs w:val="18"/>
          <w:b w:val="1"/>
          <w:bCs w:val="1"/>
          <w:u w:val="single" w:color="auto"/>
          <w:color w:val="auto"/>
        </w:rPr>
        <w:t>Closing Warrants</w:t>
      </w:r>
      <w:r>
        <w:rPr>
          <w:rFonts w:ascii="Times New Roman" w:cs="Times New Roman" w:eastAsia="Times New Roman" w:hAnsi="Times New Roman"/>
          <w:sz w:val="18"/>
          <w:szCs w:val="18"/>
          <w:color w:val="auto"/>
        </w:rPr>
        <w:t>”; and the Pre-funded Warrants referred to in this Section are hereinafter referred to as the “</w:t>
      </w:r>
      <w:r>
        <w:rPr>
          <w:rFonts w:ascii="Times New Roman" w:cs="Times New Roman" w:eastAsia="Times New Roman" w:hAnsi="Times New Roman"/>
          <w:sz w:val="18"/>
          <w:szCs w:val="18"/>
          <w:b w:val="1"/>
          <w:bCs w:val="1"/>
          <w:u w:val="single" w:color="auto"/>
          <w:color w:val="auto"/>
        </w:rPr>
        <w:t>Closing Pre-funded Warrants</w:t>
      </w:r>
      <w:r>
        <w:rPr>
          <w:rFonts w:ascii="Times New Roman" w:cs="Times New Roman" w:eastAsia="Times New Roman" w:hAnsi="Times New Roman"/>
          <w:sz w:val="18"/>
          <w:szCs w:val="18"/>
          <w:color w:val="auto"/>
        </w:rPr>
        <w:t>.” No Closing Common Units will be certificated, and the Closing Shares and the Closing Warrants comprising the Closing Common Units will be separated immediately upon issuance. No Closing Pre-funded Units will be certificated, and the Closing Pre-funded Warrants and the Closing Warrants comprising the Closing Pre-funded Units will be separated immediately upon issuance. At the option of the Underwriter, the Company agrees, subject to the terms and conditions herein, to issue and sell additional Option Securities (as defined in Section 4.2.1 hereof). The Closing Units and the Option Securities are herein referred to collectively as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The number of Closing Units and Option Securities to be purchased by the Underwriter is set forth opposite its name in Schedule 4.1.2 hereto. Aegis Capital Corp. has agreed to act as the Underwriter in connection with the offering and sale of the Securities.</w:t>
      </w:r>
    </w:p>
    <w:p>
      <w:pPr>
        <w:spacing w:after="0" w:line="19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has the meaning set forth in Rule 405 under the Securities Act.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Time</w:t>
      </w:r>
      <w:r>
        <w:rPr>
          <w:rFonts w:ascii="Times New Roman" w:cs="Times New Roman" w:eastAsia="Times New Roman" w:hAnsi="Times New Roman"/>
          <w:sz w:val="17"/>
          <w:szCs w:val="17"/>
          <w:color w:val="auto"/>
        </w:rPr>
        <w:t>” means 7:00 a.m. Eastern Time on the date hereof.</w:t>
      </w:r>
    </w:p>
    <w:p>
      <w:pPr>
        <w:spacing w:after="0" w:line="225"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u w:val="single" w:color="auto"/>
          <w:color w:val="auto"/>
        </w:rPr>
        <w:t>Bona Fide Electronic Road Show</w:t>
      </w:r>
      <w:r>
        <w:rPr>
          <w:rFonts w:ascii="Times New Roman" w:cs="Times New Roman" w:eastAsia="Times New Roman" w:hAnsi="Times New Roman"/>
          <w:sz w:val="18"/>
          <w:szCs w:val="18"/>
          <w:color w:val="auto"/>
        </w:rPr>
        <w:t>” means a “bona fide electronic road show” (as defined in Rule 433(h)(5) under the Securities Act) that the Company has made available without restriction by “graphic means” (as defined in Rule 405 under the Securities Act) to any person.</w:t>
      </w:r>
    </w:p>
    <w:p>
      <w:pPr>
        <w:spacing w:after="0" w:line="154"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on which the Nasdaq Capital Market is open for trading and on which banks in New York are open for business and not permitted by law or executive order to be closed.</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Final Prospectus</w:t>
      </w:r>
      <w:r>
        <w:rPr>
          <w:rFonts w:ascii="Times New Roman" w:cs="Times New Roman" w:eastAsia="Times New Roman" w:hAnsi="Times New Roman"/>
          <w:sz w:val="18"/>
          <w:szCs w:val="18"/>
          <w:color w:val="auto"/>
        </w:rPr>
        <w:t>” means the prospectus in the form first filed with the Commission pursuant to and within the time limits described in Rule 424(b) under the Securities Act.</w:t>
      </w:r>
    </w:p>
    <w:p>
      <w:pPr>
        <w:spacing w:after="0" w:line="15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Free Writing Prospectus</w:t>
      </w:r>
      <w:r>
        <w:rPr>
          <w:rFonts w:ascii="Times New Roman" w:cs="Times New Roman" w:eastAsia="Times New Roman" w:hAnsi="Times New Roman"/>
          <w:sz w:val="17"/>
          <w:szCs w:val="17"/>
          <w:color w:val="auto"/>
        </w:rPr>
        <w:t>” has the meaning set forth in Rule 405 under the Securities Act.</w:t>
      </w:r>
    </w:p>
    <w:p>
      <w:pPr>
        <w:spacing w:after="0" w:line="225"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means (a) any liabilities for borrowed money or amounts owed in excess of $50,000 in aggregate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w:t>
      </w:r>
    </w:p>
    <w:p>
      <w:pPr>
        <w:spacing w:after="0" w:line="3" w:lineRule="exact"/>
        <w:rPr>
          <w:rFonts w:ascii="Times New Roman" w:cs="Times New Roman" w:eastAsia="Times New Roman" w:hAnsi="Times New Roman"/>
          <w:sz w:val="18"/>
          <w:szCs w:val="18"/>
          <w:color w:val="auto"/>
        </w:rPr>
      </w:pPr>
    </w:p>
    <w:p>
      <w:pPr>
        <w:ind w:left="660" w:hanging="4"/>
        <w:spacing w:after="0" w:line="260" w:lineRule="auto"/>
        <w:tabs>
          <w:tab w:leader="none" w:pos="92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any lease payments in excess of $50,000 in aggregate due under leases required to be capitalized in accordance with GAAP (as defined in Section 2.15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and the rules and regulations promulgated thereunder.</w:t>
      </w:r>
    </w:p>
    <w:p>
      <w:pPr>
        <w:spacing w:after="0" w:line="155" w:lineRule="exact"/>
        <w:rPr>
          <w:sz w:val="20"/>
          <w:szCs w:val="20"/>
          <w:color w:val="auto"/>
        </w:rPr>
      </w:pPr>
    </w:p>
    <w:p>
      <w:pPr>
        <w:ind w:left="652"/>
        <w:spacing w:after="0"/>
        <w:tabs>
          <w:tab w:leader="none" w:pos="1332"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Issuer Free Writing Prospectus</w:t>
      </w:r>
      <w:r>
        <w:rPr>
          <w:rFonts w:ascii="Times New Roman" w:cs="Times New Roman" w:eastAsia="Times New Roman" w:hAnsi="Times New Roman"/>
          <w:sz w:val="17"/>
          <w:szCs w:val="17"/>
          <w:color w:val="auto"/>
        </w:rPr>
        <w:t>” means an “issuer free writing prospectus” (as defined in Rule 433(h)(1) under the Securities Act).</w:t>
      </w:r>
    </w:p>
    <w:p>
      <w:pPr>
        <w:spacing w:after="0" w:line="225" w:lineRule="exact"/>
        <w:rPr>
          <w:sz w:val="20"/>
          <w:szCs w:val="20"/>
          <w:color w:val="auto"/>
        </w:rPr>
      </w:pPr>
    </w:p>
    <w:p>
      <w:pPr>
        <w:jc w:val="both"/>
        <w:ind w:left="652" w:right="20"/>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included in the Registration Statement prior to the time at which the Commission declared the Registration Statement effective.</w:t>
      </w:r>
    </w:p>
    <w:p>
      <w:pPr>
        <w:spacing w:after="0" w:line="15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means the Preliminary Prospectus collectively with this Agreement (including documents attached hereto or incorporated by reference herein) and the documents and pricing information set forth in Schedule 1.14 hereto.</w:t>
      </w:r>
    </w:p>
    <w:p>
      <w:pPr>
        <w:spacing w:after="0" w:line="155" w:lineRule="exact"/>
        <w:rPr>
          <w:sz w:val="20"/>
          <w:szCs w:val="20"/>
          <w:color w:val="auto"/>
        </w:rPr>
      </w:pPr>
    </w:p>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Closing Units as in the opinion of counsel for the Underwriter a prospectus relating to the Closing Units is required by law to be delivered (or required to be delivered but for Rule 172 under the Securities Act) in connection with sales of the Closing Units by the Underwriter or dealer.</w:t>
      </w:r>
    </w:p>
    <w:p>
      <w:pPr>
        <w:spacing w:after="0" w:line="171"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the registration statement on Form S-1 (File No. 333-280996), including a prospectus, registering the offer and sale of the Closing Units under the Securities Act as amended at the time the Commission declared it effective, including each of the exhibits, financial statements and schedules thereto, (b) any Rule 430A Information, and (c) any Rule 462(b) Registration Statement, including in each case any documents incorporated by reference therein.</w:t>
      </w:r>
    </w:p>
    <w:p>
      <w:pPr>
        <w:spacing w:after="0" w:line="176" w:lineRule="exact"/>
        <w:rPr>
          <w:sz w:val="20"/>
          <w:szCs w:val="20"/>
          <w:color w:val="auto"/>
        </w:rPr>
      </w:pPr>
    </w:p>
    <w:p>
      <w:pPr>
        <w:jc w:val="both"/>
        <w:ind w:left="652" w:right="20"/>
        <w:spacing w:after="0" w:line="28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Rule 430A Information</w:t>
      </w:r>
      <w:r>
        <w:rPr>
          <w:rFonts w:ascii="Times New Roman" w:cs="Times New Roman" w:eastAsia="Times New Roman" w:hAnsi="Times New Roman"/>
          <w:sz w:val="18"/>
          <w:szCs w:val="18"/>
          <w:color w:val="auto"/>
        </w:rPr>
        <w:t>” means the information deemed, pursuant to Rule 430A under the Securities Act, to be part of the Registration Statement at the time the Commission declared the Registration Statement effective.</w:t>
      </w:r>
    </w:p>
    <w:p>
      <w:pPr>
        <w:spacing w:after="0" w:line="15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Rule 462(b) Registration Statement</w:t>
      </w:r>
      <w:r>
        <w:rPr>
          <w:rFonts w:ascii="Times New Roman" w:cs="Times New Roman" w:eastAsia="Times New Roman" w:hAnsi="Times New Roman"/>
          <w:sz w:val="18"/>
          <w:szCs w:val="18"/>
          <w:color w:val="auto"/>
        </w:rPr>
        <w:t>” means an abbreviated registration statement to register the offer and sale of additional units pursuant to Rule 462(b) under the Securities Act.</w:t>
      </w:r>
    </w:p>
    <w:p>
      <w:pPr>
        <w:spacing w:after="0" w:line="155" w:lineRule="exact"/>
        <w:rPr>
          <w:sz w:val="20"/>
          <w:szCs w:val="20"/>
          <w:color w:val="auto"/>
        </w:rPr>
      </w:pPr>
    </w:p>
    <w:p>
      <w:pPr>
        <w:ind w:left="652"/>
        <w:spacing w:after="0"/>
        <w:tabs>
          <w:tab w:leader="none" w:pos="1352"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Sarbanes-Oxley Act</w:t>
      </w:r>
      <w:r>
        <w:rPr>
          <w:rFonts w:ascii="Times New Roman" w:cs="Times New Roman" w:eastAsia="Times New Roman" w:hAnsi="Times New Roman"/>
          <w:sz w:val="17"/>
          <w:szCs w:val="17"/>
          <w:color w:val="auto"/>
        </w:rPr>
        <w:t>” means the Sarbanes-Oxley Act of 2002, as amended, and the rules and regulations promulgated thereunder.</w:t>
      </w:r>
    </w:p>
    <w:p>
      <w:pPr>
        <w:spacing w:after="0" w:line="225" w:lineRule="exact"/>
        <w:rPr>
          <w:sz w:val="20"/>
          <w:szCs w:val="20"/>
          <w:color w:val="auto"/>
        </w:rPr>
      </w:pPr>
    </w:p>
    <w:p>
      <w:pPr>
        <w:ind w:left="652"/>
        <w:spacing w:after="0"/>
        <w:tabs>
          <w:tab w:leader="none" w:pos="1352"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25" w:lineRule="exact"/>
        <w:rPr>
          <w:sz w:val="20"/>
          <w:szCs w:val="20"/>
          <w:color w:val="auto"/>
        </w:rPr>
      </w:pPr>
    </w:p>
    <w:p>
      <w:pPr>
        <w:ind w:left="652"/>
        <w:spacing w:after="0"/>
        <w:tabs>
          <w:tab w:leader="none" w:pos="1352"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Standstill Period</w:t>
      </w:r>
      <w:r>
        <w:rPr>
          <w:rFonts w:ascii="Times New Roman" w:cs="Times New Roman" w:eastAsia="Times New Roman" w:hAnsi="Times New Roman"/>
          <w:sz w:val="17"/>
          <w:szCs w:val="17"/>
          <w:color w:val="auto"/>
        </w:rPr>
        <w:t>” has the meaning set forth in Section 5.10.1 hereof.</w:t>
      </w:r>
    </w:p>
    <w:p>
      <w:pPr>
        <w:spacing w:after="0" w:line="22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and Rule 163B thereunder.</w:t>
      </w:r>
    </w:p>
    <w:p>
      <w:pPr>
        <w:spacing w:after="0" w:line="155"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u w:val="single" w:color="auto"/>
          <w:color w:val="auto"/>
        </w:rPr>
        <w:t>U.S. Company Counsel</w:t>
      </w:r>
      <w:r>
        <w:rPr>
          <w:rFonts w:ascii="Times New Roman" w:cs="Times New Roman" w:eastAsia="Times New Roman" w:hAnsi="Times New Roman"/>
          <w:sz w:val="18"/>
          <w:szCs w:val="18"/>
          <w:color w:val="auto"/>
        </w:rPr>
        <w:t>” means Stradling Yocca Carlson &amp; Rauth LLP, with offices at 660 Newport Center Drive, Suite 1600, Newport Beach, CA 92660.</w:t>
      </w:r>
    </w:p>
    <w:p>
      <w:pPr>
        <w:spacing w:after="0" w:line="155" w:lineRule="exact"/>
        <w:rPr>
          <w:sz w:val="20"/>
          <w:szCs w:val="20"/>
          <w:color w:val="auto"/>
        </w:rPr>
      </w:pPr>
    </w:p>
    <w:p>
      <w:pPr>
        <w:ind w:left="652"/>
        <w:spacing w:after="0"/>
        <w:tabs>
          <w:tab w:leader="none" w:pos="1352"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Written Communication</w:t>
      </w:r>
      <w:r>
        <w:rPr>
          <w:rFonts w:ascii="Times New Roman" w:cs="Times New Roman" w:eastAsia="Times New Roman" w:hAnsi="Times New Roman"/>
          <w:sz w:val="17"/>
          <w:szCs w:val="17"/>
          <w:color w:val="auto"/>
        </w:rPr>
        <w:t>” has the meaning set forth in Rule 405 under the Securities Act.</w:t>
      </w:r>
    </w:p>
    <w:p>
      <w:pPr>
        <w:spacing w:after="0" w:line="225" w:lineRule="exact"/>
        <w:rPr>
          <w:sz w:val="20"/>
          <w:szCs w:val="20"/>
          <w:color w:val="auto"/>
        </w:rPr>
      </w:pPr>
    </w:p>
    <w:p>
      <w:pPr>
        <w:ind w:left="652"/>
        <w:spacing w:after="0"/>
        <w:tabs>
          <w:tab w:leader="none" w:pos="1352"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Written Testing-the-Waters Communications</w:t>
      </w:r>
      <w:r>
        <w:rPr>
          <w:rFonts w:ascii="Times New Roman" w:cs="Times New Roman" w:eastAsia="Times New Roman" w:hAnsi="Times New Roman"/>
          <w:sz w:val="17"/>
          <w:szCs w:val="17"/>
          <w:color w:val="auto"/>
        </w:rPr>
        <w:t>” means any Testing-the-Waters Communication that is a Written Communication.</w:t>
      </w:r>
    </w:p>
    <w:p>
      <w:pPr>
        <w:spacing w:after="0" w:line="225" w:lineRule="exact"/>
        <w:rPr>
          <w:sz w:val="20"/>
          <w:szCs w:val="20"/>
          <w:color w:val="auto"/>
        </w:rPr>
      </w:pPr>
    </w:p>
    <w:p>
      <w:pPr>
        <w:jc w:val="both"/>
        <w:ind w:left="652" w:hanging="652"/>
        <w:spacing w:after="0" w:line="259" w:lineRule="auto"/>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and agrees with, the Underwriter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matters are true and accurate and do not contain any untrue statement of a material fact or omit to state a material fact required to be stated therein or necessary to make the statements therein not misleading. Any certificate signed by an officer of the Company and delivered to the Underwriter or to counsel for the Underwriter shall be deemed to be a representation and warranty by the Company to the Underwriter as to the matters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prepared and filed the Registration Statement with the Commission under the Securities Act. The Commission has declared the Registration Statement effective under the Securities Act and the Company has not as of the date of this Agreement filed a post-effective amendment to the Registration Statement. The Commission has not issued any order suspending the effectiveness of the Registration Statement or any order preventing or suspending the use of the Registration Statement, the Final Prospectus, any Preliminary Prospectus, any Issuer Free Writing Prospectus or any Testing-the-Waters Communication, and no proceedings for such purpose or pursuant to Section 8A of the Securities Act have been initiated, are pending before or, to the Company’s knowledge, threatened by the Commission.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2.1.1. The Registration Statement, at the time it became effective, did not contain, and any post-effective amendment thereto, as of the effective date of such amendment, will not contain, any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the Underwriter furnished to the Company in writing by the Underwriter expressly for use in the Registration Statement (including any post-effective amendment thereto), the Pricing Disclosure Package, the Final Prospectus (including any amendments or supplements thereto), any Preliminary Prospectus, any Issuer Free Writing Prospectus or any Testing-the-Waters Communication, it being understood and agreed that the only such information furnished by the Underwriter consists of the information described in Section 9.3 hereof (collectively, the “</w:t>
      </w:r>
      <w:r>
        <w:rPr>
          <w:rFonts w:ascii="Times New Roman" w:cs="Times New Roman" w:eastAsia="Times New Roman" w:hAnsi="Times New Roman"/>
          <w:sz w:val="18"/>
          <w:szCs w:val="18"/>
          <w:b w:val="1"/>
          <w:bCs w:val="1"/>
          <w:u w:val="single" w:color="auto"/>
          <w:color w:val="auto"/>
        </w:rPr>
        <w:t>Underwriter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2.1.2. Each of the Registration Statement and any post-effective amendment thereto, at the time it became effective and at the date hereof, complied and will comply in all material respects with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Underwriter Information.</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The Pricing Disclosure Package, as of the Applicable Time, did not, and as of the Closing Date (as defined below) and as of any Additional Closing Date (as defined below),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Underwriter Information.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Final Prospectus</w:t>
      </w:r>
      <w:r>
        <w:rPr>
          <w:rFonts w:ascii="Times New Roman" w:cs="Times New Roman" w:eastAsia="Times New Roman" w:hAnsi="Times New Roman"/>
          <w:sz w:val="18"/>
          <w:szCs w:val="18"/>
          <w:color w:val="auto"/>
        </w:rPr>
        <w:t xml:space="preserve">. Each of the Final Prospectus and any amendments or supplements thereto, as of its date, as of the time it is filed with the Commission pursuant to Rule 424(b) under the Securities Act, as of the Closing Date and as of any Additional Closing Date, as the case may be, will not contain any untrue statement of a material fact or omit to state a material fact necessary in order to make the statements therein, in the light of the circumstances under which they were made, not misleading, and will comply in all material respects with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Underwriter Information.</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Preliminary Prospectuses</w:t>
      </w:r>
      <w:r>
        <w:rPr>
          <w:rFonts w:ascii="Times New Roman" w:cs="Times New Roman" w:eastAsia="Times New Roman" w:hAnsi="Times New Roman"/>
          <w:sz w:val="18"/>
          <w:szCs w:val="18"/>
          <w:color w:val="auto"/>
        </w:rPr>
        <w:t xml:space="preserve">. Each Preliminary Prospectus, when considered together with any amendments or supplements thereto, as of the time it was filed with the Commission pursuant to Rule 424(a) under the Securities Act, if any, did not contain any untrue statement of a material fact or omit to state a material fact necessary in order to make the statements therein, in the light of the circumstances under which they were made, not misleading, and complied in all material respects with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Underwriter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8" w:name="page9"/>
    <w:bookmarkEnd w:id="8"/>
    <w:p>
      <w:pPr>
        <w:spacing w:after="0"/>
        <w:tabs>
          <w:tab w:leader="none" w:pos="7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u w:val="single" w:color="auto"/>
          <w:color w:val="auto"/>
        </w:rPr>
        <w:t>Issuer Free Writing Prospectuses; Road Show</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2.5.1. Each Issuer Free Writing Prospectus, when considered together with the Preliminary Prospectus accompanying, or delivered prior to the delivery of, such Issuer Free Writing Prospectus, did not, as of the date of such Issuer Free Writing Prospectus, and will not, as of the Closing Date and as of any Additional Closing Date, as the case may be, contain any untrue statement of a material fact or omit to state a material fact necessary in order to make the statements therein, in the light of the circumstances under which they were made, not misleading, and complied or will comply in all material respects with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Underwriter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2.5.2. The Company has filed, or will file, with the Commission, within the time period specified in Rule 433(d) under the Securities Act, any Free Writing Prospectus it is required to file pursuant to Rule 433(d) under the Securities Act. The Company has made available any Bona Fide Electronic Road Show used by it in compliance with Rule 433(d)(8)(ii) under the Securities Act such that no filing of any “road show” (as defined in Rule 433(h) under the Securities Act) (“</w:t>
      </w:r>
      <w:r>
        <w:rPr>
          <w:rFonts w:ascii="Times New Roman" w:cs="Times New Roman" w:eastAsia="Times New Roman" w:hAnsi="Times New Roman"/>
          <w:sz w:val="18"/>
          <w:szCs w:val="18"/>
          <w:b w:val="1"/>
          <w:bCs w:val="1"/>
          <w:u w:val="single" w:color="auto"/>
          <w:color w:val="auto"/>
        </w:rPr>
        <w:t>Road Show</w:t>
      </w:r>
      <w:r>
        <w:rPr>
          <w:rFonts w:ascii="Times New Roman" w:cs="Times New Roman" w:eastAsia="Times New Roman" w:hAnsi="Times New Roman"/>
          <w:sz w:val="18"/>
          <w:szCs w:val="18"/>
          <w:color w:val="auto"/>
        </w:rPr>
        <w:t>”) is required in connection with the offering of the Closing Units.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2.5.3. Except for the Issuer Free Writing Prospectuses, if any, set forth in Schedule 2.5.3 hereto and electronic road shows, if any, each furnished to the Underwriter before first use, the Company has not used, authorized the use of, referred to or participated in the planning for use of, and will not, without the prior consent of the Underwriter, use, authorize the use of, refer to or participate in the planning for use of, any Free Writing Prospectus.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Testing-the-Waters Communications</w:t>
      </w:r>
      <w:r>
        <w:rPr>
          <w:rFonts w:ascii="Times New Roman" w:cs="Times New Roman" w:eastAsia="Times New Roman" w:hAnsi="Times New Roman"/>
          <w:sz w:val="18"/>
          <w:szCs w:val="18"/>
          <w:color w:val="auto"/>
        </w:rPr>
        <w:t>. The Company has not (x) alone engaged in any Testing-the-Waters Communication other than Testing-the-Waters Communications with the consent of the Underwriter or any underwriter that the Company has previously identified to the Underwriter with entities that are qualified institutional buyers within the meaning of Rule 144A under the Act or institutions that are accredited investors within the meaning of Rule 501 under the Act, and (y) authorized anyone other than the Underwriter to engage in Testing-the-Waters Communications.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No Other Disclosure Materials</w:t>
      </w:r>
      <w:r>
        <w:rPr>
          <w:rFonts w:ascii="Times New Roman" w:cs="Times New Roman" w:eastAsia="Times New Roman" w:hAnsi="Times New Roman"/>
          <w:sz w:val="18"/>
          <w:szCs w:val="18"/>
          <w:color w:val="auto"/>
        </w:rPr>
        <w:t>. Other than the Registration Statement, the Pricing Disclosure Package, the Final Prospectus and the Road Show, the Company (including its agents and representatives, other than the Underwriter or any underwriter that the Company has previously identified to the Underwriter, as to which no representation or warranty is given) has not, directly or indirectly, distributed, prepared, used, authorized, approved or referred to, and will not distribute, prepare, use, authorize, approve or refer to, any offering material in connection with the offering and sale of the Closing Units.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Ineligible Issuer</w:t>
      </w:r>
      <w:r>
        <w:rPr>
          <w:rFonts w:ascii="Times New Roman" w:cs="Times New Roman" w:eastAsia="Times New Roman" w:hAnsi="Times New Roman"/>
          <w:sz w:val="18"/>
          <w:szCs w:val="18"/>
          <w:color w:val="auto"/>
        </w:rPr>
        <w:t>. At the time of filing of the Registration Statement and any amendment thereto and at the date hereof, the Company was not and is not an “ineligible issuer” in connection with the offering (as defined in Rule 405 under the Securities Act).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u w:val="single" w:color="auto"/>
          <w:color w:val="auto"/>
        </w:rPr>
        <w:t>Smaller Reporting Company</w:t>
      </w:r>
      <w:r>
        <w:rPr>
          <w:rFonts w:ascii="Times New Roman" w:cs="Times New Roman" w:eastAsia="Times New Roman" w:hAnsi="Times New Roman"/>
          <w:sz w:val="18"/>
          <w:szCs w:val="18"/>
          <w:color w:val="auto"/>
        </w:rPr>
        <w:t>. 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 “smaller reporting company,” as defined in Rule 12b-2 under the Exchange Act.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u w:val="single" w:color="auto"/>
          <w:color w:val="auto"/>
        </w:rPr>
        <w:t>Due Authorization</w:t>
      </w:r>
      <w:r>
        <w:rPr>
          <w:rFonts w:ascii="Times New Roman" w:cs="Times New Roman" w:eastAsia="Times New Roman" w:hAnsi="Times New Roman"/>
          <w:sz w:val="18"/>
          <w:szCs w:val="18"/>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9" w:name="page10"/>
    <w:bookmarkEnd w:id="9"/>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 and, assuming the due authorization, execution and delivery by the other parties hereto, constitutes the legal, valid and binding obligation of the Company, enforceable against the Company in accordance with its terms, except as (i) the enforcement may be limited by bankruptcy, insolvency, fraudulent transfer, reorganization, moratorium or other similar laws relating to or affecting the rights and remedies of creditors generally or by general equitable principles (whether considered in a proceeding at law or in equity) relating to enforceability and (ii) rights to indemnification and contribution hereunder may be limited by applicable law and public policy considerations.</w:t>
      </w:r>
    </w:p>
    <w:p>
      <w:pPr>
        <w:spacing w:after="0" w:line="182"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the Pricing Disclosure Package, and the Final Prospectus (in each case exclusive of any amendment or supplement thereto), since the date of the most recent financial statements included or incorporated by reference in the Registration Statement, the Pricing Disclosure Package and the Final Prospectus: (i) there has been no material adverse change, or any development that could result in a material adverse change, in or affecting the condition (financial or otherwise), earnings, business, properties, management, financial position, stockholders’ equity, or results of operations, whether or not arising from transactions in the ordinary course of business, of the Company and its subsidiaries, considered as a whole; (ii) there has been no change in the share capital (other than (A) the issuance of shares of Common Stock upon the exercise or settlement (including any “net” or “cashless” exercises or settlements) of stock options, restricted stock units or warrants described as outstanding, (B) the grant of options and awards under existing equity incentive plans, or (C) the repurchase of shares of Common Stock by the Company, which were issued pursuant to the early exercise of stock options by option holders and are subject to repurchase by the Company, in each case, as described in the Registration Statement, the Pricing Disclosure Package and the Final Prospectus), or material change in the short-term debt or long-term debt of the Company or any of its subsidiaries, considered as a whole; and (iii) the Company and its subsidiaries, considered as a whole, have not incurred any material liability or obligation, indirect, direct or contingent (whether or not in the ordinary course of business); nor entered into any transaction or agreement (whether or not in the ordinary course of business) that is material to the Company and its subsidiaries, considered as a whole; and (iv) there has been no dividend or distribution of any kind declared, set aside for payment, paid or made by the Company or, except for dividends paid to the Company or other subsidiaries of the Company, any of its subsidiaries on any class of capital stock or repurchase or redemption by the Company or any of its subsidiaries of any class of capital stock.</w:t>
      </w:r>
    </w:p>
    <w:p>
      <w:pPr>
        <w:spacing w:after="0" w:line="193"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Organization and Good Standing of the Company and its Subsidiaries</w:t>
      </w:r>
      <w:r>
        <w:rPr>
          <w:rFonts w:ascii="Times New Roman" w:cs="Times New Roman" w:eastAsia="Times New Roman" w:hAnsi="Times New Roman"/>
          <w:sz w:val="18"/>
          <w:szCs w:val="18"/>
          <w:color w:val="auto"/>
        </w:rPr>
        <w:t>. The Company and each of its subsidiaries have been duly incorporated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(corporate and other) necessary to own, lease or hold their respective properties and to conduct the businesses in which they are engaged as described in the Registration Statement, the Pricing Disclosure Package and the Final Prospectus, except where the failure to be in good standing, to be so qualified or to have such power or authority could not, individually or in the aggregate, have a material adverse effect on the condition (financial or otherwise), earnings, business, properties, management, financial position, stockholders’ equity, or results of operations of the Company and its subsidiaries, considered as a whole, or adversely affect the performance by the Company of its obligations under this Agreement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The capitalization of the Company is as set forth in the Registration Statement, the Pricing Disclosure Package and the Final Prospectus under the heading “Capitalization”. All of the outstanding capital stock of the Company has been duly authorized and validly issued and is fully paid and non-assessable. The Securities have been duly authorized and, when issued and paid for as contemplated herein,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 required to be taken for the authorization, issuance and sale of the Securities has been duly and validly taken. None of the outstanding shares of Common Stock of the Company were issued in violation of any preemptive rights, rights of first refusal or other similar rights to subscribe for or purchase securities of the Company. Except as disclosed in the Registration Statement, the Pricing Disclosure Package, the Final Prospectus, there are no authorized or outstanding options, warrants, preemptive rights, rights of first refusal or other rights to acquire, or instruments convertible into or exchangeable or exercisable for, any shares of Common Stock of, or other equity interest in, the Company or any of its subsidiaries. All of the outstanding shares of, or other equity interest in, each of the Company’s subsidiaries</w:t>
      </w:r>
    </w:p>
    <w:p>
      <w:pPr>
        <w:spacing w:after="0" w:line="8" w:lineRule="exact"/>
        <w:rPr>
          <w:sz w:val="20"/>
          <w:szCs w:val="20"/>
          <w:color w:val="auto"/>
        </w:rPr>
      </w:pPr>
    </w:p>
    <w:p>
      <w:pPr>
        <w:jc w:val="both"/>
        <w:ind w:left="4" w:hanging="4"/>
        <w:spacing w:after="0" w:line="255" w:lineRule="auto"/>
        <w:tabs>
          <w:tab w:leader="none" w:pos="2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and validly issued, (ii) are fully paid and non-assessable and (iii) are owned by the Company, directly or through the Company’s subsidiaries, free and clear of any security interest, mortgage, pledge, lien, encumbrance, charge, claim or restriction on voting or transfer (collectively,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275590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10" w:name="page11"/>
    <w:bookmarkEnd w:id="10"/>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u w:val="single" w:color="auto"/>
          <w:color w:val="auto"/>
        </w:rPr>
        <w:t>Common Stock Incentive Plans</w:t>
      </w:r>
      <w:r>
        <w:rPr>
          <w:rFonts w:ascii="Times New Roman" w:cs="Times New Roman" w:eastAsia="Times New Roman" w:hAnsi="Times New Roman"/>
          <w:sz w:val="18"/>
          <w:szCs w:val="18"/>
          <w:color w:val="auto"/>
        </w:rPr>
        <w:t>. With respect to the Common Stock options (the “</w:t>
      </w:r>
      <w:r>
        <w:rPr>
          <w:rFonts w:ascii="Times New Roman" w:cs="Times New Roman" w:eastAsia="Times New Roman" w:hAnsi="Times New Roman"/>
          <w:sz w:val="18"/>
          <w:szCs w:val="18"/>
          <w:b w:val="1"/>
          <w:bCs w:val="1"/>
          <w:u w:val="single" w:color="auto"/>
          <w:color w:val="auto"/>
        </w:rPr>
        <w:t>Stock Options</w:t>
      </w:r>
      <w:r>
        <w:rPr>
          <w:rFonts w:ascii="Times New Roman" w:cs="Times New Roman" w:eastAsia="Times New Roman" w:hAnsi="Times New Roman"/>
          <w:sz w:val="18"/>
          <w:szCs w:val="18"/>
          <w:color w:val="auto"/>
        </w:rPr>
        <w:t>”) granted pursuant to the Common Stock-based compensation plans of the Company and its subsidiaries (the “</w:t>
      </w:r>
      <w:r>
        <w:rPr>
          <w:rFonts w:ascii="Times New Roman" w:cs="Times New Roman" w:eastAsia="Times New Roman" w:hAnsi="Times New Roman"/>
          <w:sz w:val="18"/>
          <w:szCs w:val="18"/>
          <w:b w:val="1"/>
          <w:bCs w:val="1"/>
          <w:u w:val="single" w:color="auto"/>
          <w:color w:val="auto"/>
        </w:rPr>
        <w:t>Company Common Stock Incentive Plans</w:t>
      </w:r>
      <w:r>
        <w:rPr>
          <w:rFonts w:ascii="Times New Roman" w:cs="Times New Roman" w:eastAsia="Times New Roman" w:hAnsi="Times New Roman"/>
          <w:sz w:val="18"/>
          <w:szCs w:val="18"/>
          <w:color w:val="auto"/>
        </w:rPr>
        <w:t>”), (i) each Stock Option intended to qualify as an “incentive stock option” under Section 422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so qualifies,</w:t>
      </w:r>
    </w:p>
    <w:p>
      <w:pPr>
        <w:jc w:val="both"/>
        <w:ind w:left="4" w:hanging="4"/>
        <w:spacing w:after="0" w:line="252" w:lineRule="auto"/>
        <w:tabs>
          <w:tab w:leader="none" w:pos="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Stock Option was duly authorized by all necessary corporate action, including, as applicable, approval by the board of directors of the Company (or a duly constituted and authorized committee thereof) and any required stockholders approval by the necessary number of votes or written consents, and the award agreement governing such grant (if any), to the Company’s knowledge, was duly executed and delivered by each party thereto, (iii) each such grant was made in all material respects in accordance with the terms of the Company Common Stock Incentive Plans, and (iv) each such grant was properly accounted for in accordance with United States generally accepted accounting principles applied on a consistent basis during the periods involved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in the financial statements (including the related notes) of the Company.</w:t>
      </w:r>
    </w:p>
    <w:p>
      <w:pPr>
        <w:spacing w:after="0" w:line="186"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by-laws or similar organizational documents; (ii) in default, and no event has occurred that, with notice or lapse of time or both, would constitute such a default, in the due performance or observance of any term, covenant, condition or other obligation contained in any indenture, mortgage, deed of trust, loan agreement, contract, undertaking or other agreement or instrument to which the Company or any of its subsidiaries is a party or by which the Company or any of its subsidiaries is bound or to which any property, right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or any of their respective properties or assets, except, in the case of clauses (ii) and (iii) above, for any such default or violation that would not, individually or in the aggregate, have a Material Adverse Effect.</w:t>
      </w:r>
    </w:p>
    <w:p>
      <w:pPr>
        <w:spacing w:after="0" w:line="18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None of (i) the execution, delivery and performance of this Agreement by the Company, (ii) the issuance, sale and delivery of the Closing Units or the Option Securities, (iii) the application of the proceeds of the offering as described under “Use of Proceeds” in the Registration Statement, the Pricing Disclosure Package and the Final Prospectus, or (iv) the consummation of the transactions contemplated herein will: (x) result in any violation of the terms or provisions of the charter, by-laws or similar organizational documents of the Company or any of its subsidiaries; (y) conflict with, result in a breach or violation of, or require the approval of stockholders, members or partners or any approval or consent of any persons under, any of the terms or provisions of,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note agreement, contract, undertaking or other agreement, obligation, condition, covenant or instrument to which the Company or any of its subsidiaries is a party or by which the Company or any of its subsidiaries is bound or to which any property, right or asset of the Company or any of its subsidiaries is subject; or (z) subject to the Required Approvals (as defined below), result in the violation of any law, statute, judgment, order, rule, decree or regulation applicable to the Company or any of its subsidiaries of any court, arbitrator, governmental or regulatory authority, agency or body having jurisdiction over the Company or any of its subsidiaries or any of their respective properties or assets.</w:t>
      </w:r>
    </w:p>
    <w:p>
      <w:pPr>
        <w:spacing w:after="0" w:line="187"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u w:val="single" w:color="auto"/>
          <w:color w:val="auto"/>
        </w:rPr>
        <w:t>No Consents Required</w:t>
      </w:r>
      <w:r>
        <w:rPr>
          <w:rFonts w:ascii="Times New Roman" w:cs="Times New Roman" w:eastAsia="Times New Roman" w:hAnsi="Times New Roman"/>
          <w:sz w:val="18"/>
          <w:szCs w:val="18"/>
          <w:color w:val="auto"/>
        </w:rPr>
        <w:t>. No consent, approval, authorization, order, filing, registration, license or qualification of or with any court, arbitrator, or governmental or regulatory authority, agency, or body is required for (i) the execution, delivery and performance by the Company of this Agreement; (ii) the issuance, sale and delivery of the Securities; or (iii) the consummation of the transactions contemplated herein, except for such consents, approvals, authorizations, orders, filings, registrations or qualifications as (x) have already been obtained or made and are still in full force and effect, (y) may be required by FINRA and the Nasdaq Capital Market, and (z) may be required under applicable state or federal securities laws in connection with the purchase, distribution and resale of the Securities by the Underwriter (collectively, the “</w:t>
      </w:r>
      <w:r>
        <w:rPr>
          <w:rFonts w:ascii="Times New Roman" w:cs="Times New Roman" w:eastAsia="Times New Roman" w:hAnsi="Times New Roman"/>
          <w:sz w:val="18"/>
          <w:szCs w:val="18"/>
          <w:b w:val="1"/>
          <w:bCs w:val="1"/>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Approvals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b w:val="1"/>
          <w:bCs w:val="1"/>
          <w:u w:val="single" w:color="auto"/>
          <w:color w:val="auto"/>
        </w:rPr>
        <w:t>Independent Accountants</w:t>
      </w:r>
      <w:r>
        <w:rPr>
          <w:rFonts w:ascii="Times New Roman" w:cs="Times New Roman" w:eastAsia="Times New Roman" w:hAnsi="Times New Roman"/>
          <w:sz w:val="18"/>
          <w:szCs w:val="18"/>
          <w:color w:val="auto"/>
        </w:rPr>
        <w:t>. M&amp;K CPAS, PLLC, with offices at 24955 Interstate Highway 45 Suite 400, The Woodlands, TX 77380, which expressed its opinion with respect to the financial statements (which term as used in this Agreement includes the related notes thereto) and supporting schedules included in the Registration Statement, the Pricing Disclosure Package and the Final Prospectus, is an independent registered public accounting firm with respect to the Company and its subsidiaries within the meaning of the rules and regulations of the Commission and the Public Company Accounting Oversight Board and as required by the Securities Act.</w:t>
      </w:r>
    </w:p>
    <w:p>
      <w:pPr>
        <w:spacing w:after="0" w:line="179"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b w:val="1"/>
          <w:bCs w:val="1"/>
          <w:u w:val="single" w:color="auto"/>
          <w:color w:val="auto"/>
        </w:rPr>
        <w:t>Financial Statements and Other Financial Data</w:t>
      </w:r>
      <w:r>
        <w:rPr>
          <w:rFonts w:ascii="Times New Roman" w:cs="Times New Roman" w:eastAsia="Times New Roman" w:hAnsi="Times New Roman"/>
          <w:sz w:val="18"/>
          <w:szCs w:val="18"/>
          <w:color w:val="auto"/>
        </w:rPr>
        <w:t>. The financial statements (including the related notes thereto), together with the supporting schedules, included in the Registration Statement, the Pricing Disclosure Package and the Final Prospectus comply in all material respects with the applicable requirements of the Securities Act and present fairly the consolidated financial position of the entities to which they relate as of and at the dates indicated and the results of their operations and cash flows for the periods specified. Such financial statements, notes and schedules have been prepared in conformity with GAAP applied on a consistent basis throughout the periods involved, except as may be expressly stated in the notes thereto and except, in the case of unaudited interim financial statements, subject to normal year end audit adjustments and the exclusion of certain footnotes as permitted by the applicable rules of the Commission. The financial data set forth in the Registration Statement, the Pricing Disclosure Package and the Final Prospectus under the captions “Capitalization” present fairly the information set forth therein on a basis consistent with that of the audited financial statements included in the Registration Statement, the Pricing Disclosure Package and the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277495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11" w:name="page12"/>
    <w:bookmarkEnd w:id="11"/>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u w:val="single" w:color="auto"/>
          <w:color w:val="auto"/>
        </w:rPr>
        <w:t>Statistical and Market-Related Data</w:t>
      </w:r>
      <w:r>
        <w:rPr>
          <w:rFonts w:ascii="Times New Roman" w:cs="Times New Roman" w:eastAsia="Times New Roman" w:hAnsi="Times New Roman"/>
          <w:sz w:val="18"/>
          <w:szCs w:val="18"/>
          <w:color w:val="auto"/>
        </w:rPr>
        <w:t>. The statistical and market-related data included in the Registration Statement, the Pricing Disclosure Package and the Final Prospectus are based on or derived from sources that the Company reasonably and in good faith believes to be accurate and reliable in all material respects.</w:t>
      </w:r>
    </w:p>
    <w:p>
      <w:pPr>
        <w:spacing w:after="0" w:line="17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b w:val="1"/>
          <w:bCs w:val="1"/>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included in the Registration Statement, the Pricing Disclosure Package or the Final Prospectus has been made or reaffirmed without a reasonable basis or has been disclosed other than in good faith.</w:t>
      </w:r>
    </w:p>
    <w:p>
      <w:pPr>
        <w:spacing w:after="0" w:line="171"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b w:val="1"/>
          <w:bCs w:val="1"/>
          <w:u w:val="single" w:color="auto"/>
          <w:color w:val="auto"/>
        </w:rPr>
        <w:t>Legal Proceedings</w:t>
      </w:r>
      <w:r>
        <w:rPr>
          <w:rFonts w:ascii="Times New Roman" w:cs="Times New Roman" w:eastAsia="Times New Roman" w:hAnsi="Times New Roman"/>
          <w:sz w:val="18"/>
          <w:szCs w:val="18"/>
          <w:color w:val="auto"/>
        </w:rPr>
        <w:t>. Except as disclosed in the Registration Statement, the Pricing Disclosure Package and the Final Prospectus, (i) there are no legal, governmental or regulatory investigations, actions, demands, claims, suits, arbitrations, inquiries or proceedings (collectively, “</w:t>
      </w:r>
      <w:r>
        <w:rPr>
          <w:rFonts w:ascii="Times New Roman" w:cs="Times New Roman" w:eastAsia="Times New Roman" w:hAnsi="Times New Roman"/>
          <w:sz w:val="18"/>
          <w:szCs w:val="18"/>
          <w:b w:val="1"/>
          <w:bCs w:val="1"/>
          <w:u w:val="single" w:color="auto"/>
          <w:color w:val="auto"/>
        </w:rPr>
        <w:t>Actions</w:t>
      </w:r>
      <w:r>
        <w:rPr>
          <w:rFonts w:ascii="Times New Roman" w:cs="Times New Roman" w:eastAsia="Times New Roman" w:hAnsi="Times New Roman"/>
          <w:sz w:val="18"/>
          <w:szCs w:val="18"/>
          <w:color w:val="auto"/>
        </w:rPr>
        <w:t>”) pending to which the Company or any of its subsidiaries is or may be a party or to which any property, right or asset of the Company or any of its subsidiaries is or may be the subject that, individually or in the aggregate, if determined adversely to the Company or any of its subsidiaries, could have a Material Adverse Effect; and (ii) to the knowledge of the Company, no such Actions are threatened or contemplated by any governmental or regulatory authority or by others.</w:t>
      </w:r>
    </w:p>
    <w:p>
      <w:pPr>
        <w:spacing w:after="0" w:line="182"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b w:val="1"/>
          <w:bCs w:val="1"/>
          <w:u w:val="single" w:color="auto"/>
          <w:color w:val="auto"/>
        </w:rPr>
        <w:t>Labor Disputes</w:t>
      </w:r>
      <w:r>
        <w:rPr>
          <w:rFonts w:ascii="Times New Roman" w:cs="Times New Roman" w:eastAsia="Times New Roman" w:hAnsi="Times New Roman"/>
          <w:sz w:val="18"/>
          <w:szCs w:val="18"/>
          <w:color w:val="auto"/>
        </w:rPr>
        <w:t>. No labor disturbance by or dispute with the employees of the Company or any of its subsidiaries exists or, to the knowledge of the Company, is threatened or contemplated that could, individually or in the aggregate, have a Material Adverse Effect.</w:t>
      </w:r>
    </w:p>
    <w:p>
      <w:pPr>
        <w:spacing w:after="0" w:line="15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(i) The Company and its subsidiaries own or have the right to use all patents, patent applications, trademarks, service marks, trade names, and other source indicators and registrations and applications for registration thereof, domain name registrations, copyrights and registrations and applications for registration thereof, technology and know-how, trade secrets, and all other intellectual property and related proprietary rights (collectively,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necessary to conduct their respective businesses;</w:t>
      </w:r>
    </w:p>
    <w:p>
      <w:pPr>
        <w:spacing w:after="0" w:line="3" w:lineRule="exact"/>
        <w:rPr>
          <w:sz w:val="20"/>
          <w:szCs w:val="20"/>
          <w:color w:val="auto"/>
        </w:rPr>
      </w:pPr>
    </w:p>
    <w:p>
      <w:pPr>
        <w:jc w:val="both"/>
        <w:ind w:left="4" w:hanging="4"/>
        <w:spacing w:after="0" w:line="253"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the Prospectus, neither the Company nor any of its subsidiaries has received any notice of infringement, misappropriation or other conflict with (and neither the Company nor any of its subsidiaries is otherwise aware of any infringement, misappropriation or other conflict with) the Intellectual Property Rights of any other person, except for such infringement, misappropriation or other conflict as could not have a Material Adverse Effect; and (iii) to the knowledge of the Company, the Intellectual Property Rights of the Company and its subsidiaries are not being infringed, misappropriated or otherwise violated by any person.</w:t>
      </w:r>
    </w:p>
    <w:p>
      <w:pPr>
        <w:spacing w:after="0" w:line="183"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b w:val="1"/>
          <w:bCs w:val="1"/>
          <w:u w:val="single" w:color="auto"/>
          <w:color w:val="auto"/>
        </w:rPr>
        <w:t>Licenses and Permits</w:t>
      </w:r>
      <w:r>
        <w:rPr>
          <w:rFonts w:ascii="Times New Roman" w:cs="Times New Roman" w:eastAsia="Times New Roman" w:hAnsi="Times New Roman"/>
          <w:sz w:val="18"/>
          <w:szCs w:val="18"/>
          <w:color w:val="auto"/>
        </w:rPr>
        <w:t>. (i) The Company and its subsidiaries possess such valid and current certificates, authorizations, approvals, licenses and permits (collectively, “</w:t>
      </w:r>
      <w:r>
        <w:rPr>
          <w:rFonts w:ascii="Times New Roman" w:cs="Times New Roman" w:eastAsia="Times New Roman" w:hAnsi="Times New Roman"/>
          <w:sz w:val="18"/>
          <w:szCs w:val="18"/>
          <w:b w:val="1"/>
          <w:bCs w:val="1"/>
          <w:u w:val="single" w:color="auto"/>
          <w:color w:val="auto"/>
        </w:rPr>
        <w:t>Authorizations</w:t>
      </w:r>
      <w:r>
        <w:rPr>
          <w:rFonts w:ascii="Times New Roman" w:cs="Times New Roman" w:eastAsia="Times New Roman" w:hAnsi="Times New Roman"/>
          <w:sz w:val="18"/>
          <w:szCs w:val="18"/>
          <w:color w:val="auto"/>
        </w:rPr>
        <w:t>”) issued by, and have made all declarations, amendments, supplements and filings with, the appropriate state, federal or foreign regulatory agencies or bodies necessary to own, lease and operate their respective properties and to conduct their respective businesses as set forth in the Registration Statement, the Pricing Disclosure Package and the Final Prospectus; (ii) all such Authorizations are valid and in full force and effect and the Company and its subsidiaries are in compliance with the terms and conditions of all such Authorizations; and (iii) neither the Company nor any of its subsidiaries has received notice of any revocation, termination or modification of, or non-compliance with, any such Authorization or has any reason to believe that any such Authorization will not be renewed in the ordinary course, except where, in the case of clauses (i), (ii) and (iii), the failure to possess, make or obtain such Authorizations (by possession, declaration or filing) could not, individually or in the aggregate, have a Material Adverse Effect.</w:t>
      </w:r>
    </w:p>
    <w:p>
      <w:pPr>
        <w:spacing w:after="0" w:line="18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b w:val="1"/>
          <w:bCs w:val="1"/>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or have valid and enforceable rights to lease or otherwise use, all items of real property and personal property (other than with respect to Intellectual Property Rights, which is addressed exclusively in Section 2.25) that are material to the respective businesses of the Company and its subsidiaries, in each case, free and clear of all liens, encumbrances, claims, and defects and imperfections of title, except such liens, encumbrances, claims, defects and imperfections as (i) are disclosed in the Registration Statement, the Pricing Disclosure Package and the Final Prospectus, or (ii) do not materially affect the value of such property and do not materially interfere with the use made or proposed to be made of such property by the Company and its subsidiaries. The Company and its subsidiaries have good and marketable title to, or have valid and enforceable rights to lease or otherwise use, all items of real and personal property that are material to the respective businesses of the Company and its subsidiaries, in each case, free and clear of all liens, encumbrances, claims and defects and imperfections of title, except such liens, encumbrances, claims, defects and imperfections as (i) are disclosed in the Registration Statement, the Pricing Disclosure Package and the Final Prospectus, or (ii) do not materially affect the value of such property and do not materially interfere with the use made or proposed to be made of such property by the Company and its subsidiaries. All items of real and personal property held under lease by the Company and its subsidiaries are held under valid, subsisting and enforceable leases, with such exceptions as do not materially interfere with the use made or proposed to be made of such property by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278765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49"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hereof or have timely requested extensions thereof and have paid all taxes required to be paid thereon (except as currently being contested in good faith and for which reserves required by GAAP have been created in the financial statements of the Company). The charges, accruals and reserves in respect of any income and other tax liability in the financial statements of the Company referred to in Section 2.20 are adequate, in accordance with GAAP principles, to meet any assessments for any taxes of the Company accruing through the end of the last period specified in such financial statements.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Closing Units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Registration Statement sets forth as of the date hereof all outstanding secured and unsecured Indebtedness of the Company or any Subsidiary, or for which the Company or any Subsidiary has commitments. Neither the Company nor any Subsidiary is in default with respect to any Indebtedness.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Neither the Company nor any of its subsidiaries is or, after giving effect to the offer and sale of the Securities and the application of the proceeds therefrom as described under “Use of Proceeds” in the Registration Statement, the Pricing Disclosure Package and the Final Prospectus, will be required to register as an “investment company” (as defined in the Investment Company Act).</w:t>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and its subsidiaries are insured by recognized, financially sound institutions in such amounts, with such amounts, with such deductibles and covering such losses and risks as the Company reasonably believes to be adequate for the conduct of their respective businesses and the value of their respective properties and as is prudent and customary for companies engaged in similar businesses in similar industries. All insurance policies and fidelity or surety bonds insuring the Company and its subsidiaries or their respective businesses, assets, employees, officers and directors are in full force and effect; the Company and its subsidiaries are in compliance with the terms of such policies in all material respects; neither the Company nor any of its subsidiaries has received notice from any insurer or agent of such insurer that capital improvements or other expenditures are required to be made in order to continue such insurance; and neither the Company nor any of its subsidiaries has been refused any insurance coverage sought or applied for. There are no claims by the Company or any of its subsidiaries under any such policy as to which any insurer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could not have a Material Adverse Effect.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No Stabilization or Manipulation</w:t>
      </w:r>
      <w:r>
        <w:rPr>
          <w:rFonts w:ascii="Times New Roman" w:cs="Times New Roman" w:eastAsia="Times New Roman" w:hAnsi="Times New Roman"/>
          <w:sz w:val="18"/>
          <w:szCs w:val="18"/>
          <w:color w:val="auto"/>
        </w:rPr>
        <w:t>. None of the Company, nor its Affiliates, or, to the knowledge of the Company, any person acting on its or any of their behalf (other than the Underwriter, as to which no representation or warranty is given) has taken, directly or indirectly, any action designed to or that has constituted or that could reasonably be expected to cause or result in the stabilization or manipulation of the price of any securities of the Company. The Company acknowledges that the Underwriter may engage in passive market making transactions in the Common Stock on the Nasdaq Capital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in accordance with Regulation M under the Exchange Act (“</w:t>
      </w:r>
      <w:r>
        <w:rPr>
          <w:rFonts w:ascii="Times New Roman" w:cs="Times New Roman" w:eastAsia="Times New Roman" w:hAnsi="Times New Roman"/>
          <w:sz w:val="18"/>
          <w:szCs w:val="18"/>
          <w:b w:val="1"/>
          <w:bCs w:val="1"/>
          <w:u w:val="single" w:color="auto"/>
          <w:color w:val="auto"/>
        </w:rPr>
        <w:t>Regulation 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b w:val="1"/>
          <w:bCs w:val="1"/>
          <w:u w:val="single" w:color="auto"/>
          <w:color w:val="auto"/>
        </w:rPr>
        <w:t>Compliance with the Sarbanes-Oxley Act</w:t>
      </w:r>
      <w:r>
        <w:rPr>
          <w:rFonts w:ascii="Times New Roman" w:cs="Times New Roman" w:eastAsia="Times New Roman" w:hAnsi="Times New Roman"/>
          <w:sz w:val="18"/>
          <w:szCs w:val="18"/>
          <w:color w:val="auto"/>
        </w:rPr>
        <w:t>. The Company and, to the knowledge of the Company, its officers and directors, in their capacities as such, are and have been in compliance with all applicable provisions of the Sarbanes-Oxley Act.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b w:val="1"/>
          <w:bCs w:val="1"/>
          <w:u w:val="single" w:color="auto"/>
          <w:color w:val="auto"/>
        </w:rPr>
        <w:t>Accounting Controls</w:t>
      </w:r>
      <w:r>
        <w:rPr>
          <w:rFonts w:ascii="Times New Roman" w:cs="Times New Roman" w:eastAsia="Times New Roman" w:hAnsi="Times New Roman"/>
          <w:sz w:val="18"/>
          <w:szCs w:val="18"/>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Other than as disclosed in the Registration Statement, the Company maintains a system of internal control over financial reporting and the Company is not aware of any other material weaknesses in its internal control over financial reporting (whether or not remediated). Other than as disclosed in the Registration Statement, since the date of the most recent balance sheet included in the Registration Statement, the Pricing Disclosure Package and the Final Prospectus, (x) the Company’s auditors and the board of directors of the Company have not been advised of (A) any new significant deficiencies or material weaknesses in the design or operation of the internal control over financial reporting of the Company and its subsidiaries which could adversely affect the Company’s ability to record, process, summarize, and report financial data; or (B) any fraud, whether or not material, that involves management or other employees who have a role in the internal control over financial reporting of the Company or its subsidiaries; and (y) there have been no significant changes in the internal control over financial reporting of the Company or its subsidiaries or in other factors that could significantly affect, such internal control over financial reporting, including any corrective actions with regard to significant deficiencies or material weaknesses, since the respective dates as of which information is given in the Registration Statement, the Pricing Disclosure Package and the Final Prospectus.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b w:val="1"/>
          <w:bCs w:val="1"/>
          <w:u w:val="single" w:color="auto"/>
          <w:color w:val="auto"/>
        </w:rPr>
        <w:t>Disclosure Controls and Procedures</w:t>
      </w:r>
      <w:r>
        <w:rPr>
          <w:rFonts w:ascii="Times New Roman" w:cs="Times New Roman" w:eastAsia="Times New Roman" w:hAnsi="Times New Roman"/>
          <w:sz w:val="18"/>
          <w:szCs w:val="18"/>
          <w:color w:val="auto"/>
        </w:rPr>
        <w:t>. The Company and its subsidiaries have established and maintain disclosure controls and procedures (as such term is defined in Rule 13a-15(e) under the Exchange Act) that are designed to comply with the requirements of the Exchange Act; such disclosure controls and procedures are designed to ensure that information required to be disclosed by the Company and its subsidiaries in the reports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such disclosure controls and procedures are effective to perform the functions for which they were established.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b w:val="1"/>
          <w:bCs w:val="1"/>
          <w:u w:val="single" w:color="auto"/>
          <w:color w:val="auto"/>
        </w:rPr>
        <w:t>Compliance with Environmental Laws</w:t>
      </w:r>
      <w:r>
        <w:rPr>
          <w:rFonts w:ascii="Times New Roman" w:cs="Times New Roman" w:eastAsia="Times New Roman" w:hAnsi="Times New Roman"/>
          <w:sz w:val="18"/>
          <w:szCs w:val="18"/>
          <w:color w:val="auto"/>
        </w:rPr>
        <w:t>. The Company and each of its subsidiaries (i) are, and at all times prior hereto were, in compliance with all Environmental Laws (as defined below)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and, except as described in the Registration Statement, the Pricing Disclosure Package and the Final Prospectus, (x) there are no proceedings that are pending, or known to be contemplated, against the Company or any of its subsidiaries under Environmental Laws, other than such proceedings regarding which would not, individually or in the aggregate, have a Material Adverse Effect; (y) to the knowledge of the Company, none of the Company or any of its subsidiaries is aware of any issues regarding compliance with Environmental Laws, including any pending or proposed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any of its subsidiaries anticipates material capital expenditures relating to Environmental Laws. As used herein, the term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means any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hazardous or toxic substances or wastes, pollutants or contaminants.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282575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Each “employee benefit plan” (within the meaning of Section 3(3) of the Employee Retirement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Code) would have any liability (each, a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complies in form with the requirements of all applicable statutes, rules and regulations including ERISA and the Code, and has been maintained and administered in substantial compliance with its terms and with the requirements of all applicable statutes, rules and regulations including ERISA and the Code; (ii) with respect to each Plan subject to Title IV of ERISA or Section 302 of ERISA or Section 412 and 430 of the Code (A) no “reportable event” (within the meaning of Section 4043(c) of ERISA) has occurred or is reasonably expected to occur, (B) no failure to satisfy the minimum funding standard (within the meaning of Section 302 of ERISA or Section 412 and 430 of the Code), whether or not waived, has occurred or is reasonably expected to occur, (C) the fair market value of the assets under each Plan (excluding for these purposes accrued but unpaid contributions)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(iii) each Plan that is intended to be qualified under Section 401(a) of the Code is so qualified and nothing has occurred, whether by action or by failure to act, which would cause the loss of such qualification; and (iv) no prohibited transaction, within the meaning of Section 406 of ERISA or Section 4975 of the Code, has occurred with respect to any Plan excluding transactions to which a statutory or administrative prohibited transaction exemption applies.</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b w:val="1"/>
          <w:bCs w:val="1"/>
          <w:u w:val="single" w:color="auto"/>
          <w:color w:val="auto"/>
        </w:rPr>
        <w:t>Related Party Transactions</w:t>
      </w:r>
      <w:r>
        <w:rPr>
          <w:rFonts w:ascii="Times New Roman" w:cs="Times New Roman" w:eastAsia="Times New Roman" w:hAnsi="Times New Roman"/>
          <w:sz w:val="18"/>
          <w:szCs w:val="18"/>
          <w:color w:val="auto"/>
        </w:rPr>
        <w:t>. Except as disclosed in the Registration Statement, the Pricing Disclosure Package and the Final Prospectus, no relationship, direct or indirect, exists between or among the Company or any of its subsidiaries, on the one hand, and the directors, officers, stockholders, other Affiliates, customers or suppliers of the Company or any of its subsidiaries, on the other hand, that would be required by the Securities Act to be described in the Registration Statement, the Pricing Disclosure Package and the Final Prospectus.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b w:val="1"/>
          <w:bCs w:val="1"/>
          <w:u w:val="single" w:color="auto"/>
          <w:color w:val="auto"/>
        </w:rPr>
        <w:t>No Unlawful Contributions or Other Payments</w:t>
      </w:r>
      <w:r>
        <w:rPr>
          <w:rFonts w:ascii="Times New Roman" w:cs="Times New Roman" w:eastAsia="Times New Roman" w:hAnsi="Times New Roman"/>
          <w:sz w:val="18"/>
          <w:szCs w:val="18"/>
          <w:color w:val="auto"/>
        </w:rPr>
        <w:t>. Neither the Company nor any of its subsidiaries, nor any director, officer of the Company, nor, to the knowledge of the Company, any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or regulatory official or employee; (iii) made any bribe, rebate, payoff, influence payment, kickback or other unlawful payment; or (iv) violated or is in violation of any provision of (y) the Foreign Corrupt Practices Act of 1977, as amended, and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or (z) any non-U.S. anti-bribery or anti-corruption statute or regulation. The Company and its subsidiaries have instituted and maintain and enforce policies and procedures designed to promote and ensure compliance with all applicable anti-bribery and anti-corruption laws.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2.40. </w:t>
      </w:r>
      <w:r>
        <w:rPr>
          <w:rFonts w:ascii="Times New Roman" w:cs="Times New Roman" w:eastAsia="Times New Roman" w:hAnsi="Times New Roman"/>
          <w:sz w:val="18"/>
          <w:szCs w:val="18"/>
          <w:b w:val="1"/>
          <w:bCs w:val="1"/>
          <w:u w:val="single" w:color="auto"/>
          <w:color w:val="auto"/>
        </w:rPr>
        <w:t>Compliance with Anti-Money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all applicable financial recordkeeping and reporting requirements, including those of the Currency and Foreign Transactions Reporting Act of 1970, as amended,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275590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Compliance with OFAC</w:t>
      </w:r>
      <w:r>
        <w:rPr>
          <w:rFonts w:ascii="Times New Roman" w:cs="Times New Roman" w:eastAsia="Times New Roman" w:hAnsi="Times New Roman"/>
          <w:sz w:val="18"/>
          <w:szCs w:val="18"/>
          <w:color w:val="auto"/>
        </w:rPr>
        <w:t>. Neither the Company nor any of its subsidiaries nor any director, officer of the Company, nor, to the knowledge of the Company, any agent, employee or Affiliate of the Company or any of its subsidiaries is an individual or entity (an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or is owned or controlled by an OFAC Person, that is currently the subject or target of any sanctions administered or enforced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Cuba, Iran, North Korea, Sudan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or lend, contribute or otherwise make available such proceeds to any subsidiary, joint venture partner or other OFAC Person (i) to fund or facilitate any activities of or business with any OFAC Person that, at the time of such funding or facilitation, is the subject or the target of Sanctions, (ii) to fund or facilitate any activities or business in any Sanctioned Country or (iii) in any other manner that will result in a violation by any OFAC Person (including any OFAC Person participating in the transaction, whether as underwriter, advisor, investor or otherwise) of Sanctions. Since the Company’s inception, the Company and its subsidiaries have not knowingly engaged in and are not now knowingly engaged in any dealings or transactions with any OFAC Person that at the time of the dealing or transaction is or was the subject or the target of Sanctions or with any Sanctioned Country.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Except as described in the Registration Statement, the Pricing Disclosure Package and the Final Prospectus, there are no contracts, agreements or understandings between the Company or any of its subsidiaries, on the one hand, and any person, on the other hand, granting such person any rights to require the Company or any of its subsidiaries to file a registration statement under the Securities Act with respect to any securities of the Company or any of its subsidiaries owned or to be owned by such person or to require the Company or any of its subsidiaries to include such securities in any securities to be registered pursuant to any registration statement to be filed by the Company or any of its subsidiaries under the Securities Act.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The subsidiaries of the Company shall be referred to hereinafter each as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The description of the corporate structure of the Company and each of the agreements among the Subsidiaries as set forth in the Registration Statement, the Pricing Disclosure Package and the Final Prospectus under the caption “Corporate History and Structure” filed as Exhibit 21.1 to the Registration Statement is true and accurate in all material respects and nothing has been omitted from such description which would make it misleading. The Subsidiaries of the Company listed in Schedule 2.43 hereto are the only “significant subsidiaries” (as defined under Rule 1.02(w) of Regulation S-X under the Securities Act) of the Company (the “</w:t>
      </w:r>
      <w:r>
        <w:rPr>
          <w:rFonts w:ascii="Times New Roman" w:cs="Times New Roman" w:eastAsia="Times New Roman" w:hAnsi="Times New Roman"/>
          <w:sz w:val="18"/>
          <w:szCs w:val="18"/>
          <w:b w:val="1"/>
          <w:bCs w:val="1"/>
          <w:u w:val="single" w:color="auto"/>
          <w:color w:val="auto"/>
        </w:rPr>
        <w:t>Significant Subsidiaries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u w:val="single" w:color="auto"/>
          <w:color w:val="auto"/>
        </w:rPr>
        <w:t>No Restrictions on Subsidiaries</w:t>
      </w:r>
      <w:r>
        <w:rPr>
          <w:rFonts w:ascii="Times New Roman" w:cs="Times New Roman" w:eastAsia="Times New Roman" w:hAnsi="Times New Roman"/>
          <w:sz w:val="18"/>
          <w:szCs w:val="18"/>
          <w:color w:val="auto"/>
        </w:rPr>
        <w:t>. Except as disclosed in the Registration Statement, the Pricing Disclosure Package and the Final Prospectus, no Subsidiary of the Company is currently prohibited, directly or indirectly, from paying any dividends to the Company, from making any other distribution on such Subsidiary’s share capital or similar ownership interest, from repaying to the Company any loans or advances to such Subsidiary from the Company or from transferring any of such Subsidiary’s properties or assets to the Company or any other Subsidiary of the Company.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b w:val="1"/>
          <w:bCs w:val="1"/>
          <w:u w:val="single" w:color="auto"/>
          <w:color w:val="auto"/>
        </w:rPr>
        <w:t>Exchange Listing</w:t>
      </w:r>
      <w:r>
        <w:rPr>
          <w:rFonts w:ascii="Times New Roman" w:cs="Times New Roman" w:eastAsia="Times New Roman" w:hAnsi="Times New Roman"/>
          <w:sz w:val="18"/>
          <w:szCs w:val="18"/>
          <w:color w:val="auto"/>
        </w:rPr>
        <w:t>. The Common Stock is listed on the Exchange, and the Company has taken no action designed to, or likely to have the effect of, delisting the Common Stock from the Exchange, nor has the Company received any notification that the Exchange is contemplating terminating such listing, except as described in the Registration Statement, the Disclosure Package and the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b w:val="1"/>
          <w:bCs w:val="1"/>
          <w:u w:val="single" w:color="auto"/>
          <w:color w:val="auto"/>
        </w:rPr>
        <w:t>Exchange Act Registration</w:t>
      </w:r>
      <w:r>
        <w:rPr>
          <w:rFonts w:ascii="Times New Roman" w:cs="Times New Roman" w:eastAsia="Times New Roman" w:hAnsi="Times New Roman"/>
          <w:sz w:val="18"/>
          <w:szCs w:val="18"/>
          <w:color w:val="auto"/>
        </w:rPr>
        <w:t>. The Common Stock is registered pursuant to Section 12(b) under the Exchange Act. The Company has taken no action designed to, or likely to have the effect of, terminating the registration of the Common Stock under the Exchange Act, nor has the Company received any notification that the Commission is contemplating terminating such registration.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b w:val="1"/>
          <w:bCs w:val="1"/>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except as disclosed in the Registration Statement, the Disclosure Package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8"/>
          <w:szCs w:val="18"/>
          <w:b w:val="1"/>
          <w:bCs w:val="1"/>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 and the Company fulfilling their obligations or exercising their rights hereunder (including documents incorporated herein by reference or attached hereto).</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2.49. </w:t>
      </w:r>
      <w:r>
        <w:rPr>
          <w:rFonts w:ascii="Times New Roman" w:cs="Times New Roman" w:eastAsia="Times New Roman" w:hAnsi="Times New Roman"/>
          <w:sz w:val="18"/>
          <w:szCs w:val="18"/>
          <w:b w:val="1"/>
          <w:bCs w:val="1"/>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(the “</w:t>
      </w:r>
      <w:r>
        <w:rPr>
          <w:rFonts w:ascii="Times New Roman" w:cs="Times New Roman" w:eastAsia="Times New Roman" w:hAnsi="Times New Roman"/>
          <w:sz w:val="18"/>
          <w:szCs w:val="18"/>
          <w:b w:val="1"/>
          <w:bCs w:val="1"/>
          <w:u w:val="single" w:color="auto"/>
          <w:color w:val="auto"/>
        </w:rPr>
        <w:t>Questionnaires</w:t>
      </w:r>
      <w:r>
        <w:rPr>
          <w:rFonts w:ascii="Times New Roman" w:cs="Times New Roman" w:eastAsia="Times New Roman" w:hAnsi="Times New Roman"/>
          <w:sz w:val="18"/>
          <w:szCs w:val="18"/>
          <w:color w:val="auto"/>
        </w:rPr>
        <w:t>”) completed by each of the Company’s directors, officers and beneficial holders of 5% or more of the Company’s Common Stock immediately prior to the Offering as supplemented by all information concerning the Company’s directors, officers and principal stockholders as described in the Registration Statement, the Disclosure Package and the Prospectus, provided to the Underwriter is true and correct in all material respects and the Company has not become aware of any information which would cause the information disclosed in the Questionnaires to become inaccurate and incorrect in any material respect.</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Closing Units to be integrated with prior offerings by the Company for purposes of any applicable stockholder approval provisions of any trading market on which any of the securities of the Company are listed or designated.</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u w:val="single" w:color="auto"/>
          <w:color w:val="auto"/>
        </w:rPr>
        <w:t>Litigation; Governmental Proceedings</w:t>
      </w:r>
      <w:r>
        <w:rPr>
          <w:rFonts w:ascii="Times New Roman" w:cs="Times New Roman" w:eastAsia="Times New Roman" w:hAnsi="Times New Roman"/>
          <w:sz w:val="18"/>
          <w:szCs w:val="18"/>
          <w:color w:val="auto"/>
        </w:rPr>
        <w:t>. There is no material action, suit, proceeding, inquiry, arbitration, investigation, litigation or governmental proceeding pending or, to the Company’s knowledge, threatened against, or involving the Company, any of its Subsidiaries or, to the Company’s knowledge, any executive officer or director which has not been disclosed in the Registration Statement, the Disclosure Package and the Prospectus which is required to be disclosed.</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b w:val="1"/>
          <w:bCs w:val="1"/>
          <w:u w:val="single" w:color="auto"/>
          <w:color w:val="auto"/>
        </w:rPr>
        <w:t>FINRA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2.52.1. </w:t>
      </w:r>
      <w:r>
        <w:rPr>
          <w:rFonts w:ascii="Times New Roman" w:cs="Times New Roman" w:eastAsia="Times New Roman" w:hAnsi="Times New Roman"/>
          <w:sz w:val="18"/>
          <w:szCs w:val="18"/>
          <w:b w:val="1"/>
          <w:bCs w:val="1"/>
          <w:u w:val="single" w:color="auto"/>
          <w:color w:val="auto"/>
        </w:rPr>
        <w:t>No Broker’s Fees</w:t>
      </w:r>
      <w:r>
        <w:rPr>
          <w:rFonts w:ascii="Times New Roman" w:cs="Times New Roman" w:eastAsia="Times New Roman" w:hAnsi="Times New Roman"/>
          <w:sz w:val="18"/>
          <w:szCs w:val="18"/>
          <w:color w:val="auto"/>
        </w:rPr>
        <w:t>. Except as disclosed in the Registration Statement, the Pricing Disclosure Package and the Final Prospectus, 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Securities.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2.52.2. </w:t>
      </w:r>
      <w:r>
        <w:rPr>
          <w:rFonts w:ascii="Times New Roman" w:cs="Times New Roman" w:eastAsia="Times New Roman" w:hAnsi="Times New Roman"/>
          <w:sz w:val="18"/>
          <w:szCs w:val="18"/>
          <w:b w:val="1"/>
          <w:bCs w:val="1"/>
          <w:u w:val="single" w:color="auto"/>
          <w:color w:val="auto"/>
        </w:rPr>
        <w:t>Payments Within Six (6) Months</w:t>
      </w:r>
      <w:r>
        <w:rPr>
          <w:rFonts w:ascii="Times New Roman" w:cs="Times New Roman" w:eastAsia="Times New Roman" w:hAnsi="Times New Roman"/>
          <w:sz w:val="18"/>
          <w:szCs w:val="18"/>
          <w:color w:val="auto"/>
        </w:rPr>
        <w:t>. Except as described in the Registration Statement, the Disclosure Package, the Final Prospectus, and Schedule 2.52.2 hereto,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six (6) months prior to the initial filing of the Registration Statement, other than the payment to the Underwriter as provided hereunder in connection with the Offering.</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2.52.3.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None of the net proceeds of the Offering will be paid by the Company to any participating FINRA member or its affiliates, except as specifically authorized herein.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2.52.4. </w:t>
      </w:r>
      <w:r>
        <w:rPr>
          <w:rFonts w:ascii="Times New Roman" w:cs="Times New Roman" w:eastAsia="Times New Roman" w:hAnsi="Times New Roman"/>
          <w:sz w:val="18"/>
          <w:szCs w:val="18"/>
          <w:b w:val="1"/>
          <w:bCs w:val="1"/>
          <w:u w:val="single" w:color="auto"/>
          <w:color w:val="auto"/>
        </w:rPr>
        <w:t>FINRA Affiliation</w:t>
      </w:r>
      <w:r>
        <w:rPr>
          <w:rFonts w:ascii="Times New Roman" w:cs="Times New Roman" w:eastAsia="Times New Roman" w:hAnsi="Times New Roman"/>
          <w:sz w:val="18"/>
          <w:szCs w:val="18"/>
          <w:color w:val="auto"/>
        </w:rPr>
        <w:t>. There is no (i) officer or director of the Company, (ii) to the Company’s knowledge, any beneficial owner of 10% or more of any class of the Company’s securities or (iii) to the Company’s knowledge, any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2.52.5.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17" w:name="page18"/>
    <w:bookmarkEnd w:id="17"/>
    <w:p>
      <w:pPr>
        <w:ind w:left="652" w:hanging="652"/>
        <w:spacing w:after="0"/>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the Underwriter</w:t>
      </w:r>
      <w:r>
        <w:rPr>
          <w:rFonts w:ascii="Times New Roman" w:cs="Times New Roman" w:eastAsia="Times New Roman" w:hAnsi="Times New Roman"/>
          <w:sz w:val="18"/>
          <w:szCs w:val="18"/>
          <w:color w:val="auto"/>
        </w:rPr>
        <w:t>. The Underwriter represents and warrants to, and agrees with, the Company:</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b w:val="1"/>
          <w:bCs w:val="1"/>
          <w:u w:val="single" w:color="auto"/>
          <w:color w:val="auto"/>
        </w:rPr>
        <w:t>No Testing-the-Waters Communications</w:t>
      </w:r>
      <w:r>
        <w:rPr>
          <w:rFonts w:ascii="Times New Roman" w:cs="Times New Roman" w:eastAsia="Times New Roman" w:hAnsi="Times New Roman"/>
          <w:sz w:val="18"/>
          <w:szCs w:val="18"/>
          <w:color w:val="auto"/>
        </w:rPr>
        <w:t>. The Underwriter has not (i) alone engaged in any Testing-the-Waters Communication and</w:t>
      </w:r>
    </w:p>
    <w:p>
      <w:pPr>
        <w:spacing w:after="0" w:line="31" w:lineRule="exact"/>
        <w:rPr>
          <w:rFonts w:ascii="Times New Roman" w:cs="Times New Roman" w:eastAsia="Times New Roman" w:hAnsi="Times New Roman"/>
          <w:sz w:val="18"/>
          <w:szCs w:val="18"/>
          <w:color w:val="auto"/>
        </w:rPr>
      </w:pPr>
    </w:p>
    <w:p>
      <w:pPr>
        <w:ind w:left="652" w:hanging="4"/>
        <w:spacing w:after="0" w:line="260" w:lineRule="auto"/>
        <w:tabs>
          <w:tab w:leader="none" w:pos="9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anyone to engage in Testing-the-Waters Communications. The Underwriter has not distributed, or authorized anyone else to distribute, any Written Testing-the-Waters Communications.</w:t>
      </w:r>
    </w:p>
    <w:p>
      <w:pPr>
        <w:spacing w:after="0" w:line="17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and Resale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right="20"/>
        <w:spacing w:after="0" w:line="28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Agreements to Sell and Purchase</w:t>
      </w:r>
      <w:r>
        <w:rPr>
          <w:rFonts w:ascii="Times New Roman" w:cs="Times New Roman" w:eastAsia="Times New Roman" w:hAnsi="Times New Roman"/>
          <w:sz w:val="18"/>
          <w:szCs w:val="18"/>
          <w:color w:val="auto"/>
        </w:rPr>
        <w:t>. On the basis of the representations, warranties and covenants herein and subject to the conditions herein and any adjustments made in accordance with Section 4.3 hereof,</w:t>
      </w:r>
    </w:p>
    <w:p>
      <w:pPr>
        <w:spacing w:after="0" w:line="159"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The Company agrees to issue and sell the Closing Units to the Underwriter; and</w:t>
      </w:r>
    </w:p>
    <w:p>
      <w:pPr>
        <w:spacing w:after="0" w:line="225" w:lineRule="exact"/>
        <w:rPr>
          <w:sz w:val="20"/>
          <w:szCs w:val="20"/>
          <w:color w:val="auto"/>
        </w:rPr>
      </w:pPr>
    </w:p>
    <w:p>
      <w:pPr>
        <w:jc w:val="both"/>
        <w:ind w:left="652" w:firstLine="648"/>
        <w:spacing w:after="0" w:line="266" w:lineRule="auto"/>
        <w:rPr>
          <w:sz w:val="20"/>
          <w:szCs w:val="20"/>
          <w:color w:val="auto"/>
        </w:rPr>
      </w:pPr>
      <w:r>
        <w:rPr>
          <w:rFonts w:ascii="Times New Roman" w:cs="Times New Roman" w:eastAsia="Times New Roman" w:hAnsi="Times New Roman"/>
          <w:sz w:val="18"/>
          <w:szCs w:val="18"/>
          <w:color w:val="auto"/>
        </w:rPr>
        <w:t>4.1.2. The Underwriter agrees to purchase from the Company the number of Closing Units set forth opposite the Underwriter’s name in Schedule 4.1.2 hereto, subject to such adjustments as the Underwriter in its sole discretion shall make to eliminate any sales or purchases of fractional shares of Common Stock.</w:t>
      </w:r>
    </w:p>
    <w:p>
      <w:pPr>
        <w:spacing w:after="0" w:line="176" w:lineRule="exact"/>
        <w:rPr>
          <w:sz w:val="20"/>
          <w:szCs w:val="20"/>
          <w:color w:val="auto"/>
        </w:rPr>
      </w:pPr>
    </w:p>
    <w:p>
      <w:pPr>
        <w:jc w:val="both"/>
        <w:ind w:left="652" w:firstLine="648"/>
        <w:spacing w:after="0" w:line="261" w:lineRule="auto"/>
        <w:rPr>
          <w:sz w:val="20"/>
          <w:szCs w:val="20"/>
          <w:color w:val="auto"/>
        </w:rPr>
      </w:pPr>
      <w:r>
        <w:rPr>
          <w:rFonts w:ascii="Times New Roman" w:cs="Times New Roman" w:eastAsia="Times New Roman" w:hAnsi="Times New Roman"/>
          <w:sz w:val="18"/>
          <w:szCs w:val="18"/>
          <w:color w:val="auto"/>
        </w:rPr>
        <w:t>4.1.3. The Closing Units are to be offered initially to the public at the offering price set forth on the cover page of the Final Prospectus (the “</w:t>
      </w:r>
      <w:r>
        <w:rPr>
          <w:rFonts w:ascii="Times New Roman" w:cs="Times New Roman" w:eastAsia="Times New Roman" w:hAnsi="Times New Roman"/>
          <w:sz w:val="18"/>
          <w:szCs w:val="18"/>
          <w:b w:val="1"/>
          <w:bCs w:val="1"/>
          <w:u w:val="single" w:color="auto"/>
          <w:color w:val="auto"/>
        </w:rPr>
        <w:t>Public Offering Price</w:t>
      </w:r>
      <w:r>
        <w:rPr>
          <w:rFonts w:ascii="Times New Roman" w:cs="Times New Roman" w:eastAsia="Times New Roman" w:hAnsi="Times New Roman"/>
          <w:sz w:val="18"/>
          <w:szCs w:val="18"/>
          <w:color w:val="auto"/>
        </w:rPr>
        <w:t>”). The purchase price per Closing Unit to be paid by the Underwriter to the Company shall be $0.184 per Unit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which represents the Public Offering Price less an underwriting discount of 7.0% and a non-accountable expense allowance of 1.0%.</w:t>
      </w:r>
    </w:p>
    <w:p>
      <w:pPr>
        <w:spacing w:after="0" w:line="176" w:lineRule="exact"/>
        <w:rPr>
          <w:sz w:val="20"/>
          <w:szCs w:val="20"/>
          <w:color w:val="auto"/>
        </w:rPr>
      </w:pPr>
    </w:p>
    <w:p>
      <w:pPr>
        <w:jc w:val="both"/>
        <w:ind w:left="652" w:firstLine="648"/>
        <w:spacing w:after="0" w:line="257" w:lineRule="auto"/>
        <w:rPr>
          <w:sz w:val="20"/>
          <w:szCs w:val="20"/>
          <w:color w:val="auto"/>
        </w:rPr>
      </w:pPr>
      <w:r>
        <w:rPr>
          <w:rFonts w:ascii="Times New Roman" w:cs="Times New Roman" w:eastAsia="Times New Roman" w:hAnsi="Times New Roman"/>
          <w:sz w:val="18"/>
          <w:szCs w:val="18"/>
          <w:color w:val="auto"/>
        </w:rPr>
        <w:t>4.1.4. Payment for the Closing Units (the “</w:t>
      </w:r>
      <w:r>
        <w:rPr>
          <w:rFonts w:ascii="Times New Roman" w:cs="Times New Roman" w:eastAsia="Times New Roman" w:hAnsi="Times New Roman"/>
          <w:sz w:val="18"/>
          <w:szCs w:val="18"/>
          <w:b w:val="1"/>
          <w:bCs w:val="1"/>
          <w:u w:val="single" w:color="auto"/>
          <w:color w:val="auto"/>
        </w:rPr>
        <w:t>Closing Units Payment</w:t>
      </w:r>
      <w:r>
        <w:rPr>
          <w:rFonts w:ascii="Times New Roman" w:cs="Times New Roman" w:eastAsia="Times New Roman" w:hAnsi="Times New Roman"/>
          <w:sz w:val="18"/>
          <w:szCs w:val="18"/>
          <w:color w:val="auto"/>
        </w:rPr>
        <w:t>”) shall be made by wire transfer in immediately available funds to the accounts specified by the Company to the Underwriter at the offices of Kaufman &amp; Canoles, P.C. at 10:00 a.m., ET, on August 8, 2024 or at such other place on the same or such other date and time, not later than the fifth (5th) Business Day thereafter, as the Underwriter and the Company may agree upon in writing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The Closing Units Payment shall be made against delivery of the Closing Units to be purchased on the Closing Date to the Underwriter with any transfer taxes, stamp duties and other similar taxes payable in connection with the sale of the Closing Units duly paid by the Company.</w:t>
      </w:r>
    </w:p>
    <w:p>
      <w:pPr>
        <w:spacing w:after="0" w:line="182"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u w:val="single" w:color="auto"/>
          <w:color w:val="auto"/>
        </w:rPr>
        <w:t>Over-Allotment Option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52" w:firstLine="648"/>
        <w:spacing w:after="0" w:line="252" w:lineRule="auto"/>
        <w:rPr>
          <w:sz w:val="20"/>
          <w:szCs w:val="20"/>
          <w:color w:val="auto"/>
        </w:rPr>
      </w:pPr>
      <w:r>
        <w:rPr>
          <w:rFonts w:ascii="Times New Roman" w:cs="Times New Roman" w:eastAsia="Times New Roman" w:hAnsi="Times New Roman"/>
          <w:sz w:val="18"/>
          <w:szCs w:val="18"/>
          <w:color w:val="auto"/>
        </w:rPr>
        <w:t>4.2.1. On the basis of the representations, warranties and covenants herein and subject to the conditions herein, the Underwriter is hereby granted an option (the “</w:t>
      </w:r>
      <w:r>
        <w:rPr>
          <w:rFonts w:ascii="Times New Roman" w:cs="Times New Roman" w:eastAsia="Times New Roman" w:hAnsi="Times New Roman"/>
          <w:sz w:val="18"/>
          <w:szCs w:val="18"/>
          <w:b w:val="1"/>
          <w:bCs w:val="1"/>
          <w:u w:val="single" w:color="auto"/>
          <w:color w:val="auto"/>
        </w:rPr>
        <w:t>Over-Allotment Option</w:t>
      </w:r>
      <w:r>
        <w:rPr>
          <w:rFonts w:ascii="Times New Roman" w:cs="Times New Roman" w:eastAsia="Times New Roman" w:hAnsi="Times New Roman"/>
          <w:sz w:val="18"/>
          <w:szCs w:val="18"/>
          <w:color w:val="auto"/>
        </w:rPr>
        <w:t>”) to purchase, in the aggregate, up to 7,500,000 additional shares of Common Stock and/or Pre-funded Warrants, representing 15.0% of the Closing Units sold in the offering from the Company (inclusive of such Pre-funded Warrants, as applicable and without duplication, the “</w:t>
      </w:r>
      <w:r>
        <w:rPr>
          <w:rFonts w:ascii="Times New Roman" w:cs="Times New Roman" w:eastAsia="Times New Roman" w:hAnsi="Times New Roman"/>
          <w:sz w:val="18"/>
          <w:szCs w:val="18"/>
          <w:b w:val="1"/>
          <w:bCs w:val="1"/>
          <w:u w:val="single" w:color="auto"/>
          <w:color w:val="auto"/>
        </w:rPr>
        <w:t>Option Shares</w:t>
      </w:r>
      <w:r>
        <w:rPr>
          <w:rFonts w:ascii="Times New Roman" w:cs="Times New Roman" w:eastAsia="Times New Roman" w:hAnsi="Times New Roman"/>
          <w:sz w:val="18"/>
          <w:szCs w:val="18"/>
          <w:color w:val="auto"/>
        </w:rPr>
        <w:t>”) and/or up to 15,000,000 Series A Warrants to purchase an aggregate of an additional 15,000,000 shares of Common Stock, representing 30.0% of the Closing Units sold in the offering from the Company; and 7,500,000 Series B Warrants, representing 15.0% of the Closing Units sold in the offering from the Company (the “</w:t>
      </w:r>
      <w:r>
        <w:rPr>
          <w:rFonts w:ascii="Times New Roman" w:cs="Times New Roman" w:eastAsia="Times New Roman" w:hAnsi="Times New Roman"/>
          <w:sz w:val="18"/>
          <w:szCs w:val="18"/>
          <w:b w:val="1"/>
          <w:bCs w:val="1"/>
          <w:u w:val="single" w:color="auto"/>
          <w:color w:val="auto"/>
        </w:rPr>
        <w:t>Option Warrants</w:t>
      </w:r>
      <w:r>
        <w:rPr>
          <w:rFonts w:ascii="Times New Roman" w:cs="Times New Roman" w:eastAsia="Times New Roman" w:hAnsi="Times New Roman"/>
          <w:sz w:val="18"/>
          <w:szCs w:val="18"/>
          <w:color w:val="auto"/>
        </w:rPr>
        <w:t>”). The purchase price to be paid per Option Share shall be equal to the price per Closing Unit set forth in Section 4.1 hereof (less $0.001 attributable to each whole Option Warrant included in the Closing Unit) and the purchase price to be paid per Option Warrant shall be equal to $0.001 per Option Warrant. The Over-allotment Option is, at the Underwriter’s sole discretion, for Option Shares and Option Warrants together, solely Option Shares, solely Option Warrants, or any combination thereof (each, an “</w:t>
      </w:r>
      <w:r>
        <w:rPr>
          <w:rFonts w:ascii="Times New Roman" w:cs="Times New Roman" w:eastAsia="Times New Roman" w:hAnsi="Times New Roman"/>
          <w:sz w:val="18"/>
          <w:szCs w:val="18"/>
          <w:b w:val="1"/>
          <w:bCs w:val="1"/>
          <w:u w:val="single" w:color="auto"/>
          <w:color w:val="auto"/>
        </w:rPr>
        <w:t>Option Security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Option Securities</w:t>
      </w:r>
      <w:r>
        <w:rPr>
          <w:rFonts w:ascii="Times New Roman" w:cs="Times New Roman" w:eastAsia="Times New Roman" w:hAnsi="Times New Roman"/>
          <w:sz w:val="18"/>
          <w:szCs w:val="18"/>
          <w:color w:val="auto"/>
        </w:rPr>
        <w:t>”). The Closing Units and the Option Securities are collectively referred to as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The Securities and the shares of Common Stock issuable upon exercise of the Pre-funded Warrants and the Warrants (the “</w:t>
      </w:r>
      <w:r>
        <w:rPr>
          <w:rFonts w:ascii="Times New Roman" w:cs="Times New Roman" w:eastAsia="Times New Roman" w:hAnsi="Times New Roman"/>
          <w:sz w:val="18"/>
          <w:szCs w:val="18"/>
          <w:b w:val="1"/>
          <w:bCs w:val="1"/>
          <w:u w:val="single" w:color="auto"/>
          <w:color w:val="auto"/>
        </w:rPr>
        <w:t>Underlying Shares</w:t>
      </w:r>
      <w:r>
        <w:rPr>
          <w:rFonts w:ascii="Times New Roman" w:cs="Times New Roman" w:eastAsia="Times New Roman" w:hAnsi="Times New Roman"/>
          <w:sz w:val="18"/>
          <w:szCs w:val="18"/>
          <w:color w:val="auto"/>
        </w:rPr>
        <w:t>”), are collectively referred to as the “</w:t>
      </w:r>
      <w:r>
        <w:rPr>
          <w:rFonts w:ascii="Times New Roman" w:cs="Times New Roman" w:eastAsia="Times New Roman" w:hAnsi="Times New Roman"/>
          <w:sz w:val="18"/>
          <w:szCs w:val="18"/>
          <w:b w:val="1"/>
          <w:bCs w:val="1"/>
          <w:u w:val="single" w:color="auto"/>
          <w:color w:val="auto"/>
        </w:rPr>
        <w:t>Public Securities</w:t>
      </w:r>
      <w:r>
        <w:rPr>
          <w:rFonts w:ascii="Times New Roman" w:cs="Times New Roman" w:eastAsia="Times New Roman" w:hAnsi="Times New Roman"/>
          <w:sz w:val="18"/>
          <w:szCs w:val="18"/>
          <w:color w:val="auto"/>
        </w:rPr>
        <w:t>.” The Public Securities shall be issued directly by the Company and shall have the rights and privileges described in the Registration Statement, the Pricing Disclosure Package and the Prospectus. The Closing Warrants and the Option Warrants, if any, shall be issued pursuant to, and shall have the rights and privileges set forth in, the form of Warrant, and the Closing Pre-funded Warrants shall be issued pursuant to, and shall have the rights and privileges set forth in, the form of Pre-funded Warrant. The offering and sale of the Public Securities is herein referred to as the “</w:t>
      </w:r>
      <w:r>
        <w:rPr>
          <w:rFonts w:ascii="Times New Roman" w:cs="Times New Roman" w:eastAsia="Times New Roman" w:hAnsi="Times New Roman"/>
          <w:sz w:val="18"/>
          <w:szCs w:val="18"/>
          <w:b w:val="1"/>
          <w:bCs w:val="1"/>
          <w:u w:val="single" w:color="auto"/>
          <w:color w:val="auto"/>
        </w:rPr>
        <w:t>Offering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18" w:name="page19"/>
    <w:bookmarkEnd w:id="18"/>
    <w:p>
      <w:pPr>
        <w:jc w:val="both"/>
        <w:ind w:left="652" w:firstLine="648"/>
        <w:spacing w:after="0" w:line="282" w:lineRule="auto"/>
        <w:rPr>
          <w:sz w:val="20"/>
          <w:szCs w:val="20"/>
          <w:color w:val="auto"/>
        </w:rPr>
      </w:pPr>
      <w:r>
        <w:rPr>
          <w:rFonts w:ascii="Times New Roman" w:cs="Times New Roman" w:eastAsia="Times New Roman" w:hAnsi="Times New Roman"/>
          <w:sz w:val="18"/>
          <w:szCs w:val="18"/>
          <w:color w:val="auto"/>
        </w:rPr>
        <w:t>4.2.2. Upon an exercise of the Over-Allotment Option and subject to the terms and conditions herein, the Company agrees to issue and sell the Option Securities to the Underwriter.</w:t>
      </w:r>
    </w:p>
    <w:p>
      <w:pPr>
        <w:spacing w:after="0" w:line="162" w:lineRule="exact"/>
        <w:rPr>
          <w:sz w:val="20"/>
          <w:szCs w:val="20"/>
          <w:color w:val="auto"/>
        </w:rPr>
      </w:pPr>
    </w:p>
    <w:p>
      <w:pPr>
        <w:jc w:val="both"/>
        <w:ind w:left="652" w:firstLine="648"/>
        <w:spacing w:after="0" w:line="256" w:lineRule="auto"/>
        <w:rPr>
          <w:sz w:val="20"/>
          <w:szCs w:val="20"/>
          <w:color w:val="auto"/>
        </w:rPr>
      </w:pPr>
      <w:r>
        <w:rPr>
          <w:rFonts w:ascii="Times New Roman" w:cs="Times New Roman" w:eastAsia="Times New Roman" w:hAnsi="Times New Roman"/>
          <w:sz w:val="18"/>
          <w:szCs w:val="18"/>
          <w:color w:val="auto"/>
        </w:rPr>
        <w:t>4.2.3. The Underwriter may exercise the Over-Allotment Option at any time in whole, or from time to time in part, on or before the forty-fifth (45th) day following the date of the Final Prospectus, by written notice from the Underwriter to the Company (the “</w:t>
      </w:r>
      <w:r>
        <w:rPr>
          <w:rFonts w:ascii="Times New Roman" w:cs="Times New Roman" w:eastAsia="Times New Roman" w:hAnsi="Times New Roman"/>
          <w:sz w:val="18"/>
          <w:szCs w:val="18"/>
          <w:b w:val="1"/>
          <w:bCs w:val="1"/>
          <w:u w:val="single" w:color="auto"/>
          <w:color w:val="auto"/>
        </w:rPr>
        <w:t>Over-Allotment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Exercise Notice</w:t>
      </w:r>
      <w:r>
        <w:rPr>
          <w:rFonts w:ascii="Times New Roman" w:cs="Times New Roman" w:eastAsia="Times New Roman" w:hAnsi="Times New Roman"/>
          <w:sz w:val="18"/>
          <w:szCs w:val="18"/>
          <w:color w:val="auto"/>
        </w:rPr>
        <w:t>”). The Underwriter must give the Over-Allotment Exercise Notice to the Company at least two (2)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or the applicable Additional Closing Date, as the case may be. The Underwriter may cancel any exercise of the Over-Allotment Option at any time prior to the Closing Date or the applicable Additional Closing Date, as the case may be, by giving written notice of such cancellation to the Company.</w:t>
      </w:r>
    </w:p>
    <w:p>
      <w:pPr>
        <w:spacing w:after="0" w:line="187"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7"/>
          <w:szCs w:val="17"/>
          <w:color w:val="auto"/>
        </w:rPr>
        <w:t>The Over-Allotment Exercise Notice shall set forth each of the following:</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4.2.4.1 the aggregate number of Option Securities as to which the Over-Allotment Option is being exercised.</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4.2.4.2 the Over-Allotment Option Purchase Price.</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4.2.4.3 the names and denominations in which the Option Securities are to be registered.</w:t>
      </w:r>
    </w:p>
    <w:p>
      <w:pPr>
        <w:spacing w:after="0" w:line="225" w:lineRule="exact"/>
        <w:rPr>
          <w:sz w:val="20"/>
          <w:szCs w:val="20"/>
          <w:color w:val="auto"/>
        </w:rPr>
      </w:pPr>
    </w:p>
    <w:p>
      <w:pPr>
        <w:jc w:val="both"/>
        <w:ind w:left="1952"/>
        <w:spacing w:after="0" w:line="275" w:lineRule="auto"/>
        <w:rPr>
          <w:sz w:val="20"/>
          <w:szCs w:val="20"/>
          <w:color w:val="auto"/>
        </w:rPr>
      </w:pPr>
      <w:r>
        <w:rPr>
          <w:rFonts w:ascii="Times New Roman" w:cs="Times New Roman" w:eastAsia="Times New Roman" w:hAnsi="Times New Roman"/>
          <w:sz w:val="18"/>
          <w:szCs w:val="18"/>
          <w:color w:val="auto"/>
        </w:rPr>
        <w:t>4.2.4.4 the applicable Additional Closing Date, which may be the same date and time as the Closing Date but shall not be earlier than the Closing Date nor later than the tenth (10th) full Business Day after the date of the Over-Allotment Exercise Notice.</w:t>
      </w:r>
    </w:p>
    <w:p>
      <w:pPr>
        <w:spacing w:after="0" w:line="386" w:lineRule="exact"/>
        <w:rPr>
          <w:sz w:val="20"/>
          <w:szCs w:val="20"/>
          <w:color w:val="auto"/>
        </w:rPr>
      </w:pPr>
    </w:p>
    <w:p>
      <w:pPr>
        <w:jc w:val="both"/>
        <w:ind w:left="652" w:firstLine="648"/>
        <w:spacing w:after="0" w:line="255" w:lineRule="auto"/>
        <w:rPr>
          <w:sz w:val="20"/>
          <w:szCs w:val="20"/>
          <w:color w:val="auto"/>
        </w:rPr>
      </w:pPr>
      <w:r>
        <w:rPr>
          <w:rFonts w:ascii="Times New Roman" w:cs="Times New Roman" w:eastAsia="Times New Roman" w:hAnsi="Times New Roman"/>
          <w:sz w:val="18"/>
          <w:szCs w:val="18"/>
          <w:color w:val="auto"/>
        </w:rPr>
        <w:t>4.2.5. Payment for the Option Securities (the “</w:t>
      </w:r>
      <w:r>
        <w:rPr>
          <w:rFonts w:ascii="Times New Roman" w:cs="Times New Roman" w:eastAsia="Times New Roman" w:hAnsi="Times New Roman"/>
          <w:sz w:val="18"/>
          <w:szCs w:val="18"/>
          <w:b w:val="1"/>
          <w:bCs w:val="1"/>
          <w:u w:val="single" w:color="auto"/>
          <w:color w:val="auto"/>
        </w:rPr>
        <w:t>Option Securities Payment</w:t>
      </w:r>
      <w:r>
        <w:rPr>
          <w:rFonts w:ascii="Times New Roman" w:cs="Times New Roman" w:eastAsia="Times New Roman" w:hAnsi="Times New Roman"/>
          <w:sz w:val="18"/>
          <w:szCs w:val="18"/>
          <w:color w:val="auto"/>
        </w:rPr>
        <w:t>”) shall be made by wire transfer in immediately available funds to the accounts specified by the Company to the Underwriter at the offices of Kaufman &amp; Canoles, P.C. at 10:00 a.m. ET on the date specified in the corresponding Over-Allotment Exercise Notice, or at such other place on the same or such other date and time, not later than the fifth Business Day thereafter, as the Underwriter and the Company may agree upon in writing (an “</w:t>
      </w:r>
      <w:r>
        <w:rPr>
          <w:rFonts w:ascii="Times New Roman" w:cs="Times New Roman" w:eastAsia="Times New Roman" w:hAnsi="Times New Roman"/>
          <w:sz w:val="18"/>
          <w:szCs w:val="18"/>
          <w:b w:val="1"/>
          <w:bCs w:val="1"/>
          <w:u w:val="single" w:color="auto"/>
          <w:color w:val="auto"/>
        </w:rPr>
        <w:t>Additional Closing Date</w:t>
      </w:r>
      <w:r>
        <w:rPr>
          <w:rFonts w:ascii="Times New Roman" w:cs="Times New Roman" w:eastAsia="Times New Roman" w:hAnsi="Times New Roman"/>
          <w:sz w:val="18"/>
          <w:szCs w:val="18"/>
          <w:color w:val="auto"/>
        </w:rPr>
        <w:t>”). The Option Securities Payment shall be made against delivery to the Underwriter for the respective accounts of the Underwriter of the Option Securities to be purchased on any Additional Closing Date, with any transfer taxes, stamp duties and other similar taxes payable in connection with the sale of the Option Securities duly paid by the Company. Delivery of the Option Securities shall be made through the facilities of DTC unless the Underwriter shall otherwise instruct.</w:t>
      </w:r>
    </w:p>
    <w:p>
      <w:pPr>
        <w:spacing w:after="0" w:line="185"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Public Offering</w:t>
      </w:r>
      <w:r>
        <w:rPr>
          <w:rFonts w:ascii="Times New Roman" w:cs="Times New Roman" w:eastAsia="Times New Roman" w:hAnsi="Times New Roman"/>
          <w:sz w:val="18"/>
          <w:szCs w:val="18"/>
          <w:color w:val="auto"/>
        </w:rPr>
        <w:t>. The Company understands that the Underwriter intends to make a public offering of the Closing Units as soon after the effectiveness of this Agreement as in the judgment of the Underwriter is advisable, and initially to offer the Closing Units on the terms set forth in the Final Prospectus. The Company acknowledges and agrees that the Underwriter may offer and sell Closing Units to or through any Affiliate of the Underwriter.</w:t>
      </w:r>
    </w:p>
    <w:p>
      <w:pPr>
        <w:spacing w:after="0" w:line="176" w:lineRule="exact"/>
        <w:rPr>
          <w:sz w:val="20"/>
          <w:szCs w:val="20"/>
          <w:color w:val="auto"/>
        </w:rPr>
      </w:pPr>
    </w:p>
    <w:p>
      <w:pPr>
        <w:ind w:left="652" w:hanging="652"/>
        <w:spacing w:after="0"/>
        <w:tabs>
          <w:tab w:leader="none" w:pos="6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 of the Company</w:t>
      </w:r>
      <w:r>
        <w:rPr>
          <w:rFonts w:ascii="Times New Roman" w:cs="Times New Roman" w:eastAsia="Times New Roman" w:hAnsi="Times New Roman"/>
          <w:sz w:val="18"/>
          <w:szCs w:val="18"/>
          <w:color w:val="auto"/>
        </w:rPr>
        <w:t>. The Company hereby covenants and agrees with the Underwriter as follows:</w:t>
      </w:r>
    </w:p>
    <w:p>
      <w:pPr>
        <w:spacing w:after="0" w:line="225"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u w:val="single" w:color="auto"/>
          <w:color w:val="auto"/>
        </w:rPr>
        <w:t>Filings with the Commission</w:t>
      </w:r>
      <w:r>
        <w:rPr>
          <w:rFonts w:ascii="Times New Roman" w:cs="Times New Roman" w:eastAsia="Times New Roman" w:hAnsi="Times New Roman"/>
          <w:sz w:val="18"/>
          <w:szCs w:val="18"/>
          <w:color w:val="auto"/>
        </w:rPr>
        <w:t>. The Company will:</w:t>
      </w:r>
    </w:p>
    <w:p>
      <w:pPr>
        <w:spacing w:after="0" w:line="229" w:lineRule="exact"/>
        <w:rPr>
          <w:sz w:val="20"/>
          <w:szCs w:val="20"/>
          <w:color w:val="auto"/>
        </w:rPr>
      </w:pPr>
    </w:p>
    <w:p>
      <w:pPr>
        <w:ind w:left="652" w:firstLine="648"/>
        <w:spacing w:after="0" w:line="282" w:lineRule="auto"/>
        <w:rPr>
          <w:sz w:val="20"/>
          <w:szCs w:val="20"/>
          <w:color w:val="auto"/>
        </w:rPr>
      </w:pPr>
      <w:r>
        <w:rPr>
          <w:rFonts w:ascii="Times New Roman" w:cs="Times New Roman" w:eastAsia="Times New Roman" w:hAnsi="Times New Roman"/>
          <w:sz w:val="18"/>
          <w:szCs w:val="18"/>
          <w:color w:val="auto"/>
        </w:rPr>
        <w:t>5.1.1. prepare and file the Final Prospectus (in a form approved by the Underwriter and containing the Rule 430A Information) with the Commission in accordance with and within the time periods specified by Rules 424(b) and 430A under the Securities Act.</w:t>
      </w:r>
    </w:p>
    <w:p>
      <w:pPr>
        <w:spacing w:after="0" w:line="162"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file any Issuer Free Writing Prospectus with the Commission to the extent required by Rule 433 under the Securities Act.</w:t>
      </w:r>
    </w:p>
    <w:p>
      <w:pPr>
        <w:spacing w:after="0" w:line="225"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file with the Commission such reports as may be required by Rule 463 under the Securities Act.</w:t>
      </w:r>
    </w:p>
    <w:p>
      <w:pPr>
        <w:spacing w:after="0" w:line="221"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u w:val="single" w:color="auto"/>
          <w:color w:val="auto"/>
        </w:rPr>
        <w:t>Notice to the Underwriter</w:t>
      </w:r>
      <w:r>
        <w:rPr>
          <w:rFonts w:ascii="Times New Roman" w:cs="Times New Roman" w:eastAsia="Times New Roman" w:hAnsi="Times New Roman"/>
          <w:sz w:val="17"/>
          <w:szCs w:val="17"/>
          <w:color w:val="auto"/>
        </w:rPr>
        <w:t>. The Company will advise the Underwriter promptly, and confirm such advice in writing:</w:t>
      </w:r>
    </w:p>
    <w:p>
      <w:pPr>
        <w:spacing w:after="0" w:line="229"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color w:val="auto"/>
        </w:rPr>
        <w:t>when the Registration Statement has become effective.</w:t>
      </w:r>
    </w:p>
    <w:p>
      <w:pPr>
        <w:spacing w:after="0" w:line="225"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when the Final Prospectus has been filed with the Commission.</w:t>
      </w:r>
    </w:p>
    <w:p>
      <w:pPr>
        <w:spacing w:after="0" w:line="225"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7"/>
          <w:szCs w:val="17"/>
          <w:color w:val="auto"/>
        </w:rPr>
        <w:t>when any amendment to the Registration Statement has been filed or becomes effective.</w:t>
      </w:r>
    </w:p>
    <w:p>
      <w:pPr>
        <w:spacing w:after="0" w:line="225" w:lineRule="exact"/>
        <w:rPr>
          <w:sz w:val="20"/>
          <w:szCs w:val="20"/>
          <w:color w:val="auto"/>
        </w:rPr>
      </w:pPr>
    </w:p>
    <w:p>
      <w:pPr>
        <w:ind w:left="1292"/>
        <w:spacing w:after="0"/>
        <w:tabs>
          <w:tab w:leader="none" w:pos="1952"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7"/>
          <w:szCs w:val="17"/>
          <w:color w:val="auto"/>
        </w:rPr>
        <w:t>when any Rule 462(b) Registration Statement has been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5.2.5. when any supplement to the Final Prospectus, any Issuer Free Writing Prospectus, any Written Testing-the-Waters Communication or any amendment to the Final Prospectus has been filed or distributed.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5.2.6. of (x) any request by the Commission for any amendment to the Registration Statement or any amendment or supplement to the Final Prospectus, (y) the receipt of any comments from the Commission relating to the Registration Statement or (z) any other request by the Commission for any additional information, including, but not limited to, any request for information concerning any Testing-the-Waters Communication.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5.2.7. of (x) the issuance by the Commission of any order suspending the effectiveness of the Registration Statement or preventing or suspending the use of the Registration Statement, the Pricing Disclosure Package, the Final Prospectus, any Preliminary Prospectus, any Issuer Free Writing Prospectus or any Written Testing-the-Waters Communication or (y) the initiation or, to the knowledge of the Company, threatening of any proceeding for that purpose or pursuant to Section 8A of the Securities 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5.2.8. of the occurrence of any event or development within the Prospectus Delivery Period as a result of which, the Final Prospectus,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Final Prospectus, the Pricing Disclosure Package, any such Issuer Free Writing Prospectus or any such Written Testing-the-Waters Communication is delivered to a purchaser, not misleading.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5.2.9. of the issuance by any governmental or regulatory authority or any order preventing or suspending the use of any of the Registration Statement, the Pricing Disclosure Package, the Final Prospectus, any Preliminary Prospectus, any Issuer Free Writing Prospectus or any Testing-the-Waters Communication or the initiation or threatening for that purpose.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5.2.10. of the receipt by the Company of any notice with respect to any suspension of the qualification of the Closing Units for offer and sale in any jurisdiction or the initiation or, to the knowledge of the Company, threatening of any proceeding for such purpose.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u w:val="single" w:color="auto"/>
          <w:color w:val="auto"/>
        </w:rPr>
        <w:t>Ongoing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color w:val="auto"/>
        </w:rPr>
        <w:t>If during the Prospectus Delivery Period:</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5.3.1.1 any event or development shall occur or condition shall exist as a result of which the Final Prospectus as then amended or supplemented would include any untrue statement of a material fact or omit to state any material fact necessary in order to make the statements therein, in the light of the circumstances existing when the Final Prospectus is delivered to a purchaser, not misleading, the Company will, as soon as reasonably possible, notify the Underwriter thereof and forthwith prepare and, subject to Section 5.4 hereof, file with the Commission and furnish, at its own expense, to the Underwriter and to such dealers as the Underwriter may designate such amendments or supplements to the Final Prospectus as may be necessary so that the statements in the Final Prospectus as so amended or supplemented will not, in the light of the circumstances existing when the Final Prospectus is delivered to a purchaser, be misleading; or</w:t>
      </w:r>
    </w:p>
    <w:p>
      <w:pPr>
        <w:spacing w:after="0" w:line="19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5.3.1.2 it is necessary to amend or supplement the Final Prospectus to comply with applicable law, the Company will, as soon as reasonably possible, notify the Underwriter thereof and forthwith prepare and, subject to Section 5.4 hereof, file with the Commission and furnish, at its own expense, to the Underwriter and to such dealers as the Underwriter may designate such amendments or supplements to the Final Prospectus as may be necessary so that the Final Prospectus will comply with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273685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20" w:name="page21"/>
    <w:bookmarkEnd w:id="20"/>
    <w:p>
      <w:pPr>
        <w:ind w:left="640"/>
        <w:spacing w:after="0"/>
        <w:tabs>
          <w:tab w:leader="none" w:pos="130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7"/>
          <w:szCs w:val="17"/>
          <w:color w:val="auto"/>
        </w:rPr>
        <w:t>if at any time prior to the Closing Date or any Additional Closing Date, as the case may be:</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5.3.2.1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w:t>
      </w:r>
    </w:p>
    <w:p>
      <w:pPr>
        <w:spacing w:after="0" w:line="19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5.3.2.2 it is necessary to amend or supplement the Pricing Disclosure Package to comply with applicable law, the Company will immediately notify the Underwriter thereof and forthwith prepare and, subject to Section 5.4 hereof, file with the Commission (to the extent required) and furnish, at its own expense, to the Underwriter and to such dealers as the Underwriter may designate such amendments or supplements to the Pricing Disclosure Package as may be necessary so that the Pricing Disclosure Package will comply with applicable law.</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Amendments, Supplements and Issuer Free Writing Prospectuses</w:t>
      </w:r>
      <w:r>
        <w:rPr>
          <w:rFonts w:ascii="Times New Roman" w:cs="Times New Roman" w:eastAsia="Times New Roman" w:hAnsi="Times New Roman"/>
          <w:sz w:val="18"/>
          <w:szCs w:val="18"/>
          <w:color w:val="auto"/>
        </w:rPr>
        <w:t>. Before (i) using, authorizing, approving, referring to, distributing or filing any Issuer Free Writing Prospectus, (ii) filing (x) any Rule 462(b) Registration Statement or (y) any amendment or supplement to the Registration Statement or the Final Prospectus, or (iii) distributing any amendment or supplement to the Pricing Disclosure Package or the Final Prospectus, the Company will furnish to the Underwriter and counsel for the Underwriter a copy of the proposed Issuer Free Writing Prospectus, Rule 462(b) Registration Statement or other amendment or supplement for review and will not use, authorize, refer to, distribute or file any such Issuer Free Writing Prospectus or Rule 462(b) Registration Statement, or file or distribute any such proposed amendment or supplement (A) to which the Underwriter objects in a timely manner and (B) which is not in compliance with the Securities Act. The Company will, pursuant to reasonable procedures developed in good faith, retain copies of each Issuer Free Writing Prospectus that is not filed with the Commission in accordance with Rule 433 under the Securities Act.</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Delivery of Copies</w:t>
      </w:r>
      <w:r>
        <w:rPr>
          <w:rFonts w:ascii="Times New Roman" w:cs="Times New Roman" w:eastAsia="Times New Roman" w:hAnsi="Times New Roman"/>
          <w:sz w:val="18"/>
          <w:szCs w:val="18"/>
          <w:color w:val="auto"/>
        </w:rPr>
        <w:t>. The Company will, upon request of the Underwriter, deliver, without charge, (i) to the Underwriter, three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consents) and (B) during the Prospectus Delivery Period, as many copies of the Final Prospectus (including all amendments and supplements thereto and each Issuer Free Writing Prospectus) as the Underwriter may reasonably request.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Blue Sky Compliance</w:t>
      </w:r>
      <w:r>
        <w:rPr>
          <w:rFonts w:ascii="Times New Roman" w:cs="Times New Roman" w:eastAsia="Times New Roman" w:hAnsi="Times New Roman"/>
          <w:sz w:val="18"/>
          <w:szCs w:val="18"/>
          <w:color w:val="auto"/>
        </w:rPr>
        <w:t xml:space="preserve">. The Company will use its best efforts, with the Underwriter’s cooperation, if necessary, to qualify or register (or to obtain exemptions from qualifying or registering) the Closing Units for offer and sale under the securities or Blue Sky laws of such jurisdictions as the Underwriter shall reasonably request and will use its reasonable best efforts, with the Underwriter’s cooperation, if necessary, to continue such qualifications, registrations and exemptions in effect so long as required for the distribution of the Closing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and the Underwriter as soon as practicable an earning statement that satisfies the provisions of Section 11(a) of the Securities Act and Rule 158 under the Securities Act covering a period of at least 12 months beginning after the “effective date” (as defined in Rule 158 under the Securities Act) of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be deemed to have furnished such statement to its security holders and the Underwriter to the extent it is filed on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The Company shall hold a special meeting of stockholders (which may also be at the annual meeting of stockholders) at the earliest practicable date after the date hereof, but in no event later than seventy-five (75) days after the Closing Date for the purpose of obtaining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Within twenty (20) Business Days following the Closing Date, the Company shall file with the Commission a preliminary proxy statement for the purpose of obtaining Stockholder Approval, and the Company shall use its best efforts to obtain such Stockholder Approval. In the event Stockholder Approval (or board approval in lieu thereof following six (6) months after the Closing Date) does not occur, the Company will be required to hold additional meetings at least once every sixty (60) days until the earlier of the date Stockholder Approval is obtained or the Warrants are no longer outstanding, with printed and mailed proxy statements sent to stockholders for such meetings. Notwithstanding the foregoing, the Company may, in lieu of holding a special meeting of stockholders as aforesaid, obtain the written consent of a majority of its stockholders covering the Stockholder Approval so long as prior to seventy-five (75) days after the Closing Date, such written consents are obtained and in accordance with Exchange Act Rule 14c-2 at least twenty (20) days shall have transpired from the date on which a written information statement containing the information specified in Schedule 14C detailing such Stockholder Approval shall have been filed with the Commission and delivered to stockholders of the Company. “</w:t>
      </w: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Approval</w:t>
      </w:r>
      <w:r>
        <w:rPr>
          <w:rFonts w:ascii="Times New Roman" w:cs="Times New Roman" w:eastAsia="Times New Roman" w:hAnsi="Times New Roman"/>
          <w:sz w:val="18"/>
          <w:szCs w:val="18"/>
          <w:color w:val="auto"/>
        </w:rPr>
        <w:t>” shall mean those actions set forth in the definition of “Stockholder Approval” in the Series A Warrants and the Series B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Company shall apply the net proceeds from the sale of the Closing Units and the Option Securities in the manner described under the caption “Use of Proceeds” in the Registration Statement, the Pricing Disclosure Package and the Final Prospectus.</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Clear Market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5.10.1. For a period from the date hereof to ninety (90) days after the Stockholder Approval (the “</w:t>
      </w:r>
      <w:r>
        <w:rPr>
          <w:rFonts w:ascii="Times New Roman" w:cs="Times New Roman" w:eastAsia="Times New Roman" w:hAnsi="Times New Roman"/>
          <w:sz w:val="18"/>
          <w:szCs w:val="18"/>
          <w:b w:val="1"/>
          <w:bCs w:val="1"/>
          <w:u w:val="single" w:color="auto"/>
          <w:color w:val="auto"/>
        </w:rPr>
        <w:t>Standstill Period</w:t>
      </w:r>
      <w:r>
        <w:rPr>
          <w:rFonts w:ascii="Times New Roman" w:cs="Times New Roman" w:eastAsia="Times New Roman" w:hAnsi="Times New Roman"/>
          <w:sz w:val="18"/>
          <w:szCs w:val="18"/>
          <w:color w:val="auto"/>
        </w:rPr>
        <w:t>”), the Company will not (x)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shares of Common Stock, or publicly disclose the intention to make any offer, sale, pledge, disposition or filing, or (y) enter into any swap or other agreement that transfers, in whole or in part, any of the economic consequences of ownership of the shares of Common Stock or any such other securities, whether any such transaction described in clause (x) or (y) above is to be settled by delivery of shares of Common Stock or such other securities, in cash or otherwise, without the prior written consent of the Underwriter.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5.10.2. The restrictions contained in Section 5.10.1 hereof shall not apply to: (A) the Closing Units, (B) any shares of Common Stock issued under Company Common Stock Incentive Plans or warrants issued by the Company, in each case, described as outstanding in the Registration Statement, the Pricing Disclosure Package and the Final Prospectus, provided that no such shares of Common Stock or warrants are amended during the Standstill Period to reduce the exercise or conversion price or increase the number of shares issuable thereunder, (C) any options and other awards granted under a Company Common Stock Incentive Plan as described in the Registration Statement, the Pricing Disclosure Package and the Final Prospectus, provided that such securities are issued as “restricted securities” (as defined in Rule 144) and carry no registration rights that require or permit any registration statement in connection therewith to be filed publicly or declared effective during the Standstill Period (D) the amendment of a Company Common Stock Incentive Plan as described in the Registration Statement, the Pricing Disclosure Package and the Final Prospectus, (E) the filing by the Company of any registration statement on Form S-8 or a successor form thereto relating to a Company Common Stock Incentive Plan described in the Registration Statement, the Pricing Disclosure Package and the Final Prospectus and (F) shares of Common Stock or other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shares of Common Stock or other securities issued or granted pursuant to clauses (B), (C) and (F) during the Standstill Period shall not be saleable in the public market until the expiration of the Standstill Period.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5.10.3. If the Underwriter, in its sole discretion, agrees to release or waive the restrictions set forth in any Lock-Up Agreement as described in Section 8.9 and provides the Company with notice of the impending release or waiver substantially in the form of </w:t>
      </w:r>
      <w:r>
        <w:rPr>
          <w:rFonts w:ascii="Times New Roman" w:cs="Times New Roman" w:eastAsia="Times New Roman" w:hAnsi="Times New Roman"/>
          <w:sz w:val="18"/>
          <w:szCs w:val="18"/>
          <w:b w:val="1"/>
          <w:bCs w:val="1"/>
          <w:u w:val="single" w:color="auto"/>
          <w:color w:val="auto"/>
        </w:rPr>
        <w:t>Exhibit 5.10.3.1</w:t>
      </w:r>
      <w:r>
        <w:rPr>
          <w:rFonts w:ascii="Times New Roman" w:cs="Times New Roman" w:eastAsia="Times New Roman" w:hAnsi="Times New Roman"/>
          <w:sz w:val="18"/>
          <w:szCs w:val="18"/>
          <w:color w:val="auto"/>
        </w:rPr>
        <w:t xml:space="preserve"> hereto at least three (3) Business Days before the effective date of the release or waiver, then the Company agrees to announce the impending release or waiver by a press release substantially in the form of </w:t>
      </w:r>
      <w:r>
        <w:rPr>
          <w:rFonts w:ascii="Times New Roman" w:cs="Times New Roman" w:eastAsia="Times New Roman" w:hAnsi="Times New Roman"/>
          <w:sz w:val="18"/>
          <w:szCs w:val="18"/>
          <w:b w:val="1"/>
          <w:bCs w:val="1"/>
          <w:u w:val="single" w:color="auto"/>
          <w:color w:val="auto"/>
        </w:rPr>
        <w:t>Exhibit 5.10.3.2</w:t>
      </w:r>
      <w:r>
        <w:rPr>
          <w:rFonts w:ascii="Times New Roman" w:cs="Times New Roman" w:eastAsia="Times New Roman" w:hAnsi="Times New Roman"/>
          <w:sz w:val="18"/>
          <w:szCs w:val="18"/>
          <w:color w:val="auto"/>
        </w:rPr>
        <w:t xml:space="preserve"> hereto through a major news service at least two (2) Business Days before the effective date of the release or waiver.</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No Stabilization or Manipulation</w:t>
      </w:r>
      <w:r>
        <w:rPr>
          <w:rFonts w:ascii="Times New Roman" w:cs="Times New Roman" w:eastAsia="Times New Roman" w:hAnsi="Times New Roman"/>
          <w:sz w:val="18"/>
          <w:szCs w:val="18"/>
          <w:color w:val="auto"/>
        </w:rPr>
        <w:t>. None of the Company, its Affiliates or any person acting on its or any of their behalf (other than the Underwriter, as to which no covenant is given) will take, directly or indirectly, any action designed to or that constitutes or that could reasonably be expected to cause or result in the stabilization or manipulation of the price of any securities of the Company. The Company acknowledges that the Underwriter may engage in passive market making transactions in the Common Stock on the Exchange in accordance with Regulation 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The Company shall not invest, or otherwise use the proceeds received by the Company from the sale of the Closing Units or the Option Securities in such a manner as would require the Company or any of its subsidiaries to register as an “investment company” (as defined in the Investment Company Act) under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267970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22" w:name="page23"/>
    <w:bookmarkEnd w:id="22"/>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For the period of two (2) years from the date of this Agreement, the Company shall engage and maintain, at its expense, a registrar and transfer agent for the Common Stock.</w:t>
      </w:r>
    </w:p>
    <w:p>
      <w:pPr>
        <w:spacing w:after="0" w:line="155" w:lineRule="exact"/>
        <w:rPr>
          <w:sz w:val="20"/>
          <w:szCs w:val="20"/>
          <w:color w:val="auto"/>
        </w:rPr>
      </w:pPr>
    </w:p>
    <w:p>
      <w:pPr>
        <w:jc w:val="both"/>
        <w:ind w:left="652"/>
        <w:spacing w:after="0" w:line="259"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color w:val="auto"/>
        </w:rPr>
        <w:t xml:space="preserve">. For the period of two (2) years from the date of this Agreement, the Company will furnish to the Underwriter, as soon as they are available, copies of all reports or other communications (financial or other) furnished to holders of the Common Stock,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be deemed to have furnished such reports and financial statements to the Underwriter to the extent they are filed on EDGAR.</w:t>
      </w:r>
    </w:p>
    <w:p>
      <w:pPr>
        <w:spacing w:after="0" w:line="179"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color w:val="auto"/>
        </w:rPr>
        <w:t>. The Company agrees that, if, for the period ending twelve (12) months after the Closing Date, the Company or any of its subsidiaries: (a) decides to finance or refinance any indebtedness, the Underwriter (or any affiliate designated by the Underwriter)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the Underwriter (or any affiliate designated by the Underwriter) shall have the right to act as sole book-running manager, sole underwriter or sole placement agent for such financing. If the Underwriter or one of its affiliates decides to accept any such engagement, the agreement governing such engagement (each, a “</w:t>
      </w:r>
      <w:r>
        <w:rPr>
          <w:rFonts w:ascii="Times New Roman" w:cs="Times New Roman" w:eastAsia="Times New Roman" w:hAnsi="Times New Roman"/>
          <w:sz w:val="18"/>
          <w:szCs w:val="18"/>
          <w:b w:val="1"/>
          <w:bCs w:val="1"/>
          <w:u w:val="single" w:color="auto"/>
          <w:color w:val="auto"/>
        </w:rPr>
        <w:t>Subsequent Transaction Agreement</w:t>
      </w:r>
      <w:r>
        <w:rPr>
          <w:rFonts w:ascii="Times New Roman" w:cs="Times New Roman" w:eastAsia="Times New Roman" w:hAnsi="Times New Roman"/>
          <w:sz w:val="18"/>
          <w:szCs w:val="18"/>
          <w:color w:val="auto"/>
        </w:rPr>
        <w:t>”) will contain, among other things, provisions for customary fees for transactions of similar size and nature (but in no event will the fees be less than those outlined herein) and shall include the provisions of this Agreement, including indemnification, that are appropriate to such a transaction. Notwithstanding the foregoing, the decision to accept the Company’s engagement under this Section 5.15 shall be made by the Underwriter or one of its affiliates, by a written notice to the Company, within ten (10) days of the receipt of the Company’s notification of its financing needs, including a detailed term sheet. The Underwriter’s determination of whether in any case to exercise its right of first refusal will be strictly limited to the terms on such term sheet, and any waiver of such right of first refusal shall apply only to such specific terms. If the Underwriter waives its right of first refusal, any deviation from such terms (including without limitation after the launch of a subsequent transaction) shall void the waiver and require the Company to seek a new waiver from the right of first refusal on the terms set forth in this Section 5.15.</w:t>
      </w:r>
    </w:p>
    <w:p>
      <w:pPr>
        <w:spacing w:after="0" w:line="183" w:lineRule="exact"/>
        <w:rPr>
          <w:sz w:val="20"/>
          <w:szCs w:val="20"/>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 of the Underwriter</w:t>
      </w:r>
      <w:r>
        <w:rPr>
          <w:rFonts w:ascii="Times New Roman" w:cs="Times New Roman" w:eastAsia="Times New Roman" w:hAnsi="Times New Roman"/>
          <w:sz w:val="18"/>
          <w:szCs w:val="18"/>
          <w:color w:val="auto"/>
        </w:rPr>
        <w:t>. The Underwriter hereby covenants and agrees with the Company as follows:</w:t>
      </w:r>
    </w:p>
    <w:p>
      <w:pPr>
        <w:spacing w:after="0" w:line="225" w:lineRule="exact"/>
        <w:rPr>
          <w:rFonts w:ascii="Times New Roman" w:cs="Times New Roman" w:eastAsia="Times New Roman" w:hAnsi="Times New Roman"/>
          <w:sz w:val="18"/>
          <w:szCs w:val="18"/>
          <w:color w:val="auto"/>
        </w:rPr>
      </w:pPr>
    </w:p>
    <w:p>
      <w:pPr>
        <w:jc w:val="both"/>
        <w:ind w:left="6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Underwriter Free Writing Prospectus</w:t>
      </w:r>
      <w:r>
        <w:rPr>
          <w:rFonts w:ascii="Times New Roman" w:cs="Times New Roman" w:eastAsia="Times New Roman" w:hAnsi="Times New Roman"/>
          <w:sz w:val="18"/>
          <w:szCs w:val="18"/>
          <w:color w:val="auto"/>
        </w:rPr>
        <w:t>. The Underwriter has not used, authorized the use of, referred to or participated in the planning for use of, and will not use, authorize the use of, refer to or participate in the planning for use of, any Free Writing Prospectus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filed or required to be filed pursuant to Rule 433(d) under the Securities Act (“</w:t>
      </w:r>
      <w:r>
        <w:rPr>
          <w:rFonts w:ascii="Times New Roman" w:cs="Times New Roman" w:eastAsia="Times New Roman" w:hAnsi="Times New Roman"/>
          <w:sz w:val="18"/>
          <w:szCs w:val="18"/>
          <w:b w:val="1"/>
          <w:bCs w:val="1"/>
          <w:u w:val="single" w:color="auto"/>
          <w:color w:val="auto"/>
        </w:rPr>
        <w:t>Issuer Information</w:t>
      </w:r>
      <w:r>
        <w:rPr>
          <w:rFonts w:ascii="Times New Roman" w:cs="Times New Roman" w:eastAsia="Times New Roman" w:hAnsi="Times New Roman"/>
          <w:sz w:val="18"/>
          <w:szCs w:val="18"/>
          <w:color w:val="auto"/>
        </w:rPr>
        <w:t>”) that was not included in the Preliminary Prospectus or a previously filed Issuer Free Writing Prospectus, (ii) any Issuer Free Writing Prospectus listed in Schedule 2.5.3 hereto or prepared pursuant to Section 2.5.3 or Section 5.4 hereof (including any electronic road show), or (iii) any Free Writing Prospectus prepared by the Underwriter and approved by the Company in advance in writing.</w:t>
      </w:r>
    </w:p>
    <w:p>
      <w:pPr>
        <w:spacing w:after="0" w:line="184" w:lineRule="exact"/>
        <w:rPr>
          <w:rFonts w:ascii="Times New Roman" w:cs="Times New Roman" w:eastAsia="Times New Roman" w:hAnsi="Times New Roman"/>
          <w:sz w:val="18"/>
          <w:szCs w:val="18"/>
          <w:color w:val="auto"/>
        </w:rPr>
      </w:pPr>
    </w:p>
    <w:p>
      <w:pPr>
        <w:jc w:val="both"/>
        <w:ind w:left="652"/>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Section 8A Proceedings</w:t>
      </w:r>
      <w:r>
        <w:rPr>
          <w:rFonts w:ascii="Times New Roman" w:cs="Times New Roman" w:eastAsia="Times New Roman" w:hAnsi="Times New Roman"/>
          <w:sz w:val="18"/>
          <w:szCs w:val="18"/>
          <w:color w:val="auto"/>
        </w:rPr>
        <w:t>. The Underwriter is not subject to any pending proceeding under Section 8A of the Securities Act with respect to the offering of the Closing Units and will promptly notify the Company if any such proceeding against it is initiated during the Prospectus Delivery Period.</w:t>
      </w:r>
    </w:p>
    <w:p>
      <w:pPr>
        <w:spacing w:after="0" w:line="17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Company Expenses</w:t>
      </w:r>
      <w:r>
        <w:rPr>
          <w:rFonts w:ascii="Times New Roman" w:cs="Times New Roman" w:eastAsia="Times New Roman" w:hAnsi="Times New Roman"/>
          <w:sz w:val="18"/>
          <w:szCs w:val="18"/>
          <w:color w:val="auto"/>
        </w:rPr>
        <w:t>. The Company hereby agrees to pay on the Closing Date all expenses incident to the performance of the obligations of the Company under this Agreement including, but not limited to: (a) all filing fees and expenses relating to the registration of the Closing Units with the Commission; (b) all filing fees and expenses associated with the review of the offering of the Closing Units by FINRA; (c) all fees and expenses relating to the listing of the Closing Shares and the Series A Warrants and the Series B Warrants on the Exchange (to the extent relevant) or on such other stock exchanges as the Company and the Underwriter together determine; (d) all fees, expenses and disbursements relating to the registration or qualification of the Closing Units under the “blue sky” securities laws of such states and other jurisdictions as the Underwriter may reasonably designate (including, without limitation, all filing and registration fees, and the reasonable fees and disbursements of the Company’s “blue sky” counsel, which will be Underwriter’s counsel) unless such filings are not required in connection with the Company’s proposed Exchange listing; (e) all fees, expenses and disbursements relating to the registration, qualification or exemption of the Securities under the securities laws of such foreign jurisdictions as the Underwriter may reasonably designate; (f) the costs of all mailing and printing of the underwriting documents, the Registration Statement, Pricing Disclosure Package, the Final Prospectus, any Preliminary Prospectus, any Issuer Free Writing Prospectus or any Testing-the-Waters Communication and all amendments, supplements and exhibits thereto as the Underwriter may reasonably deem necessary; (g) the costs of preparing, printing and delivering certificates representing the Closing Shares; (h) fees and expenses of the transfer agent for the Closing Shares; (i) transfer and/or stamp taxes, if any, payable upon the transfer of securities from the Company to the Underwriter; (j) the fees and expenses of the Company’s accountants; and (k) reasonable legal fees and disbursements for the Underwriter’s counsel. The total amount payable by the Company to the Underwriter pursuant to (k) shall not exceed $100,000. The Underwriter may deduct from the net proceeds of the Offering payable to the Company on the Closing Date the expenses set forth herein to be paid by the Company to the Underwriter. Except as provided for in this Agreement, the Underwriter shall bear the costs and expenses incurred by them in connection with the sale of the Closing Units and the transactions contemplated thereby.</w:t>
      </w:r>
    </w:p>
    <w:p>
      <w:pPr>
        <w:spacing w:after="0" w:line="190" w:lineRule="exact"/>
        <w:rPr>
          <w:rFonts w:ascii="Times New Roman" w:cs="Times New Roman" w:eastAsia="Times New Roman" w:hAnsi="Times New Roman"/>
          <w:sz w:val="18"/>
          <w:szCs w:val="18"/>
          <w:color w:val="auto"/>
        </w:rPr>
      </w:pPr>
    </w:p>
    <w:p>
      <w:pPr>
        <w:jc w:val="both"/>
        <w:ind w:left="65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Non-accountable Expenses</w:t>
      </w:r>
      <w:r>
        <w:rPr>
          <w:rFonts w:ascii="Times New Roman" w:cs="Times New Roman" w:eastAsia="Times New Roman" w:hAnsi="Times New Roman"/>
          <w:sz w:val="18"/>
          <w:szCs w:val="18"/>
          <w:color w:val="auto"/>
        </w:rPr>
        <w:t>. On the Closing Date, the Company shall pay to the Underwriter, by deduction from the net proceeds of the Offering a non-accountable expense allowance equal to one percent (1.0%) of the gross proceeds received by the Company from the sale of the Closing Units); provided, however, that in the event that the Offering is terminated, the Company agrees to reimburse the Underwriter pursuant to Section 12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23" w:name="page24"/>
    <w:bookmarkEnd w:id="23"/>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Underwriter Expenses</w:t>
      </w:r>
      <w:r>
        <w:rPr>
          <w:rFonts w:ascii="Times New Roman" w:cs="Times New Roman" w:eastAsia="Times New Roman" w:hAnsi="Times New Roman"/>
          <w:sz w:val="18"/>
          <w:szCs w:val="18"/>
          <w:color w:val="auto"/>
        </w:rPr>
        <w:t>. Except to the extent otherwise provided in this Section 7 or Section 9 hereof, the Underwriter will pay all of its own costs and expenses, including the fees and expenses of their counsel, any stock transfer taxes on resale of any of the shares of Common Stock held by them, and any advertising expenses connected with any offers they may make.</w:t>
      </w:r>
    </w:p>
    <w:p>
      <w:pPr>
        <w:spacing w:after="0" w:line="171" w:lineRule="exact"/>
        <w:rPr>
          <w:sz w:val="20"/>
          <w:szCs w:val="20"/>
          <w:color w:val="auto"/>
        </w:rPr>
      </w:pPr>
    </w:p>
    <w:p>
      <w:pPr>
        <w:jc w:val="both"/>
        <w:ind w:left="652" w:right="20"/>
        <w:spacing w:after="0" w:line="28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u w:val="single" w:color="auto"/>
          <w:color w:val="auto"/>
        </w:rPr>
        <w:t>Company Reimbursement</w:t>
      </w:r>
      <w:r>
        <w:rPr>
          <w:rFonts w:ascii="Times New Roman" w:cs="Times New Roman" w:eastAsia="Times New Roman" w:hAnsi="Times New Roman"/>
          <w:sz w:val="18"/>
          <w:szCs w:val="18"/>
          <w:color w:val="auto"/>
        </w:rPr>
        <w:t>. The provisions of this Section 7 shall not affect any agreement that the Company may make for the sharing of such costs and expenses.</w:t>
      </w:r>
    </w:p>
    <w:p>
      <w:pPr>
        <w:spacing w:after="0" w:line="155" w:lineRule="exact"/>
        <w:rPr>
          <w:sz w:val="20"/>
          <w:szCs w:val="20"/>
          <w:color w:val="auto"/>
        </w:rPr>
      </w:pPr>
    </w:p>
    <w:p>
      <w:pPr>
        <w:jc w:val="both"/>
        <w:ind w:left="652" w:hanging="652"/>
        <w:spacing w:after="0" w:line="268"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the Obligations of the Underwriter</w:t>
      </w:r>
      <w:r>
        <w:rPr>
          <w:rFonts w:ascii="Times New Roman" w:cs="Times New Roman" w:eastAsia="Times New Roman" w:hAnsi="Times New Roman"/>
          <w:sz w:val="18"/>
          <w:szCs w:val="18"/>
          <w:color w:val="auto"/>
        </w:rPr>
        <w:t>. The obligations of the Underwriter to purchase the Closing Units as provided herein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or the Option Securities as provided herein on any Additional Closing Date, as the case may be, shall be subject to the timely performance by the Company of its covenants and other obligations hereunder, and to each of the following additional conditions:</w:t>
      </w:r>
    </w:p>
    <w:p>
      <w:pPr>
        <w:spacing w:after="0" w:line="170"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7"/>
          <w:szCs w:val="17"/>
          <w:b w:val="1"/>
          <w:bCs w:val="1"/>
          <w:u w:val="single" w:color="auto"/>
          <w:color w:val="auto"/>
        </w:rPr>
        <w:t>Registration Compliance; No Stop Order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52" w:firstLine="648"/>
        <w:spacing w:after="0" w:line="266" w:lineRule="auto"/>
        <w:rPr>
          <w:sz w:val="20"/>
          <w:szCs w:val="20"/>
          <w:color w:val="auto"/>
        </w:rPr>
      </w:pPr>
      <w:r>
        <w:rPr>
          <w:rFonts w:ascii="Times New Roman" w:cs="Times New Roman" w:eastAsia="Times New Roman" w:hAnsi="Times New Roman"/>
          <w:sz w:val="18"/>
          <w:szCs w:val="18"/>
          <w:color w:val="auto"/>
        </w:rPr>
        <w:t>8.1.1. The Registration Statement and any post-effective amendment thereto shall have become effective, no stop order suspending the effectiveness of the Registration Statement or any post-effective amendment thereto shall be in effect, and no proceeding for such purpose or pursuant to Section 8A of the Securities Act shall be pending before or threatened by the Commission.</w:t>
      </w:r>
    </w:p>
    <w:p>
      <w:pPr>
        <w:spacing w:after="0" w:line="176" w:lineRule="exact"/>
        <w:rPr>
          <w:sz w:val="20"/>
          <w:szCs w:val="20"/>
          <w:color w:val="auto"/>
        </w:rPr>
      </w:pPr>
    </w:p>
    <w:p>
      <w:pPr>
        <w:jc w:val="both"/>
        <w:ind w:left="652" w:firstLine="648"/>
        <w:spacing w:after="0" w:line="282" w:lineRule="auto"/>
        <w:rPr>
          <w:sz w:val="20"/>
          <w:szCs w:val="20"/>
          <w:color w:val="auto"/>
        </w:rPr>
      </w:pPr>
      <w:r>
        <w:rPr>
          <w:rFonts w:ascii="Times New Roman" w:cs="Times New Roman" w:eastAsia="Times New Roman" w:hAnsi="Times New Roman"/>
          <w:sz w:val="18"/>
          <w:szCs w:val="18"/>
          <w:color w:val="auto"/>
        </w:rPr>
        <w:t>8.1.2. The Company shall have filed the Final Prospectus and each Issuer Free Writing Prospectus with the Commission in accordance with and within the time periods prescribed by Section 5.1 hereof.</w:t>
      </w:r>
    </w:p>
    <w:p>
      <w:pPr>
        <w:spacing w:after="0" w:line="162" w:lineRule="exact"/>
        <w:rPr>
          <w:sz w:val="20"/>
          <w:szCs w:val="20"/>
          <w:color w:val="auto"/>
        </w:rPr>
      </w:pPr>
    </w:p>
    <w:p>
      <w:pPr>
        <w:jc w:val="both"/>
        <w:ind w:left="652" w:firstLine="648"/>
        <w:spacing w:after="0" w:line="282" w:lineRule="auto"/>
        <w:rPr>
          <w:sz w:val="20"/>
          <w:szCs w:val="20"/>
          <w:color w:val="auto"/>
        </w:rPr>
      </w:pPr>
      <w:r>
        <w:rPr>
          <w:rFonts w:ascii="Times New Roman" w:cs="Times New Roman" w:eastAsia="Times New Roman" w:hAnsi="Times New Roman"/>
          <w:sz w:val="18"/>
          <w:szCs w:val="18"/>
          <w:color w:val="auto"/>
        </w:rPr>
        <w:t>8.1.3. The Company shall have (A) disclosed to the Underwriter all requests by the Commission for additional information relating to the offer and sale of the Closing Units and (B) complied with such requests to the reasonable satisfaction of the Underwriter.</w:t>
      </w:r>
    </w:p>
    <w:p>
      <w:pPr>
        <w:spacing w:after="0" w:line="158"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on the date hereof and on and as of the Closing Date or any Additional Closing Date, as the case may be, and the statements of the Company and its officers made in any certificates delivered pursuant to this Agreement shall be true and correct on and as of the Closing Date or any Additional Closing Date, as the case may be.</w:t>
      </w:r>
    </w:p>
    <w:p>
      <w:pPr>
        <w:spacing w:after="0" w:line="176"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Auditor Comfort Letters</w:t>
      </w:r>
      <w:r>
        <w:rPr>
          <w:rFonts w:ascii="Times New Roman" w:cs="Times New Roman" w:eastAsia="Times New Roman" w:hAnsi="Times New Roman"/>
          <w:sz w:val="18"/>
          <w:szCs w:val="18"/>
          <w:color w:val="auto"/>
        </w:rPr>
        <w:t xml:space="preserve">. On the date of this Agreement and on the Closing Date or any Additional Closing Date, as the case may be, M&amp;K CPAS, PLLC shall have furnished to the Underwriter, at the request of the Company, letters, dated the respective dates of delivery thereof and addressed to the Underwriter, in form and substance reasonably satisfactory to the Underwriter, containing statements and information of the type customarily included in accountants’ “comfort letters” to underwriter with respect to the financial statements and certain financial information contained in each of the Registration Statement, the Pricing Disclosure Package and the Final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letter delivered on the Closing Date or any Additional Closing Date, as the case may be, shall use a “cut-off” date no more than two business days prior to the Closing Date or such Additional Closing Date, as the case may be.</w:t>
      </w:r>
    </w:p>
    <w:p>
      <w:pPr>
        <w:spacing w:after="0" w:line="183" w:lineRule="exact"/>
        <w:rPr>
          <w:sz w:val="20"/>
          <w:szCs w:val="20"/>
          <w:color w:val="auto"/>
        </w:rPr>
      </w:pPr>
    </w:p>
    <w:p>
      <w:pPr>
        <w:jc w:val="both"/>
        <w:ind w:left="652"/>
        <w:spacing w:after="0" w:line="25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 event or condition of a type described in Section 2.12 hereof shall have occurred or shall exist, which event or condition is not described in each of the Pricing Disclosure Package and the Final Prospectus (in each case, exclusive of any amendment or supplement thereto), the effect of which in the judgment of the Underwriter makes it impracticable or inadvisable to proceed with the offering, sale or delivery of the Closing Units on the Closing Date or any Additional Closing Date, as the case may be, in the manner and on the terms contemplated by this Agreement, the Pricing Disclosure Package and the Final Prospectus (in each case, exclusive of any amendment or supplement thereto).</w:t>
      </w:r>
    </w:p>
    <w:p>
      <w:pPr>
        <w:spacing w:after="0" w:line="182"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Opinion and Negative Assurance Letter of Counsel to the Company</w:t>
      </w:r>
      <w:r>
        <w:rPr>
          <w:rFonts w:ascii="Times New Roman" w:cs="Times New Roman" w:eastAsia="Times New Roman" w:hAnsi="Times New Roman"/>
          <w:sz w:val="18"/>
          <w:szCs w:val="18"/>
          <w:color w:val="auto"/>
        </w:rPr>
        <w:t>. U.S. Company Counsel shall each have furnished to the Underwriter, at the request of the Company, its (i) written opinion, addressed to the Underwriter and dated the Closing Date or any Additional Closing Date, as the case may be, and (ii) negative assurance letter, addressed to the Underwriter and dated the Closing Date or any Additional Closing Date, as the case may be, in each case, in a form reasonably satisfactory to the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24" w:name="page25"/>
    <w:bookmarkEnd w:id="24"/>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Officer’s Certificate</w:t>
      </w:r>
      <w:r>
        <w:rPr>
          <w:rFonts w:ascii="Times New Roman" w:cs="Times New Roman" w:eastAsia="Times New Roman" w:hAnsi="Times New Roman"/>
          <w:sz w:val="18"/>
          <w:szCs w:val="18"/>
          <w:color w:val="auto"/>
        </w:rPr>
        <w:t>. The Underwriter shall have received as of the Closing Date or any Additional Closing Date on the date of this Agreement, a certificate from the Company’s CFO in form and substance reasonably satisfactory to the Underwriter, containing statements and information confirming that the financial statements and certain financial information contained in the Registration Statement is consistent with the Company’s records and does not contain any material misstatements or omissions and shall have received as of the Closing Date or any Additional Closing Date, as the case may be, a certificate of an executive officer of the Company who has specific knowledge of the Company’s financial matters and is satisfactory to the Underwriter, (i) confirming that such officer has carefully reviewed the Registration Statement, the Pricing Disclosure Package, the Final Prospectus, each Issuer Free Writing Prospectus and each Written Testing-the-Waters Communication and, to the knowledge of such officer, the representations set forth in Section 2, hereof are true and correct on and as of the Closing Date or any Additional Closing Date, as the case may be; (ii) to the effect set forth in clause (i) of Section 2.12 and Section 8.1 hereof; and (iii) confirming that all of the other representations and warranties of the Company in this Agreement are true and correct on and as of the Closing Date or any Additional Closing Date, as the case may be, and that the Company has complied with all agreements and covenants and satisfied all other conditions on its part to be performed or satisfied hereunder at or prior to the Closing Date or any Additional Closing Date, as the case may be.</w:t>
      </w:r>
    </w:p>
    <w:p>
      <w:pPr>
        <w:spacing w:after="0" w:line="19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No Legal Impediment to Issuance and Sale</w:t>
      </w:r>
      <w:r>
        <w:rPr>
          <w:rFonts w:ascii="Times New Roman" w:cs="Times New Roman" w:eastAsia="Times New Roman" w:hAnsi="Times New Roman"/>
          <w:sz w:val="18"/>
          <w:szCs w:val="18"/>
          <w:color w:val="auto"/>
        </w:rPr>
        <w:t>. No action shall have been taken and no statute, rule, regulation or order shall have been enacted, adopted or issued by any federal, state or foreign governmental or regulatory authority that would, as of the Closing Date or any Additional Closing Date, as the case may be, prevent the issuance, sale or delivery of the Closing Units or the Option Securities by the Company; and no injunction or order of any federal, state or foreign court shall have been issued that would, as of the Closing Date or any Additional Closing Date, as the case may be, prevent the issuance, sale or delivery of the Closing Units or the Option Securities.</w:t>
      </w:r>
    </w:p>
    <w:p>
      <w:pPr>
        <w:spacing w:after="0" w:line="17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Good Standing</w:t>
      </w:r>
      <w:r>
        <w:rPr>
          <w:rFonts w:ascii="Times New Roman" w:cs="Times New Roman" w:eastAsia="Times New Roman" w:hAnsi="Times New Roman"/>
          <w:sz w:val="18"/>
          <w:szCs w:val="18"/>
          <w:color w:val="auto"/>
        </w:rPr>
        <w:t>. The Underwriter shall have received on and as of the Closing Date and any Additional Closing Date, as the case may be, satisfactory evidence of the good standing of the Company in its jurisdiction of incorporation, in writing from the appropriate governmental authorities of such jurisdiction.</w:t>
      </w:r>
    </w:p>
    <w:p>
      <w:pPr>
        <w:spacing w:after="0" w:line="17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Lock-Up Agreements</w:t>
      </w:r>
      <w:r>
        <w:rPr>
          <w:rFonts w:ascii="Times New Roman" w:cs="Times New Roman" w:eastAsia="Times New Roman" w:hAnsi="Times New Roman"/>
          <w:sz w:val="18"/>
          <w:szCs w:val="18"/>
          <w:color w:val="auto"/>
        </w:rPr>
        <w:t xml:space="preserve">. The Lock-Up Agreements substantially in the form of </w:t>
      </w:r>
      <w:r>
        <w:rPr>
          <w:rFonts w:ascii="Times New Roman" w:cs="Times New Roman" w:eastAsia="Times New Roman" w:hAnsi="Times New Roman"/>
          <w:sz w:val="18"/>
          <w:szCs w:val="18"/>
          <w:b w:val="1"/>
          <w:bCs w:val="1"/>
          <w:u w:val="single" w:color="auto"/>
          <w:color w:val="auto"/>
        </w:rPr>
        <w:t>Exhibit 8.9</w:t>
      </w:r>
      <w:r>
        <w:rPr>
          <w:rFonts w:ascii="Times New Roman" w:cs="Times New Roman" w:eastAsia="Times New Roman" w:hAnsi="Times New Roman"/>
          <w:sz w:val="18"/>
          <w:szCs w:val="18"/>
          <w:color w:val="auto"/>
        </w:rPr>
        <w:t xml:space="preserve"> hereto executed by the officers, directors and stockholders of at least five percent (5%) of the outstanding Common Stock of the Company as of the date hereof relating to sales and certain other dispositions of shares of Common Stock or certain other securities, delivered to the Underwriter on or before the date hereof, shall be in full force and effect on the Closing Date or any Additional Closing Date, as the case may be.</w:t>
      </w:r>
    </w:p>
    <w:p>
      <w:pPr>
        <w:spacing w:after="0" w:line="176"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Exchange Listing</w:t>
      </w:r>
      <w:r>
        <w:rPr>
          <w:rFonts w:ascii="Times New Roman" w:cs="Times New Roman" w:eastAsia="Times New Roman" w:hAnsi="Times New Roman"/>
          <w:sz w:val="18"/>
          <w:szCs w:val="18"/>
          <w:color w:val="auto"/>
        </w:rPr>
        <w:t>. On the Closing Date or any Additional Closing Date, as the case may be, the Company shall have filed a Listing of Additional Shares Notification Form with the Nasdaq Capital Market with respect to the Closing Shares and the Series A Warrants and the Series B Warrants, subject to notice of issuance.</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b w:val="1"/>
          <w:bCs w:val="1"/>
          <w:u w:val="single" w:color="auto"/>
          <w:color w:val="auto"/>
        </w:rPr>
        <w:t>FINRA Clearance</w:t>
      </w:r>
      <w:r>
        <w:rPr>
          <w:rFonts w:ascii="Times New Roman" w:cs="Times New Roman" w:eastAsia="Times New Roman" w:hAnsi="Times New Roman"/>
          <w:sz w:val="18"/>
          <w:szCs w:val="18"/>
          <w:color w:val="auto"/>
        </w:rPr>
        <w:t>. On or before the date of this Agreement, if required by FINRA, the Underwriter shall have received clearance from FINRA as to the amount of compensation allowable or payable to the Underwriter as described in the Registration Statement.</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b w:val="1"/>
          <w:bCs w:val="1"/>
          <w:u w:val="single" w:color="auto"/>
          <w:color w:val="auto"/>
        </w:rPr>
        <w:t>Consent to Stockholder Approval</w:t>
      </w:r>
      <w:r>
        <w:rPr>
          <w:rFonts w:ascii="Times New Roman" w:cs="Times New Roman" w:eastAsia="Times New Roman" w:hAnsi="Times New Roman"/>
          <w:sz w:val="18"/>
          <w:szCs w:val="18"/>
          <w:color w:val="auto"/>
        </w:rPr>
        <w:t>. On or before the date of this Agreement, the Company’s Chief Executive Officer, Chief Operating Officer, John Yozamp and James Yozamp shall have delivered to the Underwriter executed copies of an irrevocable consent to seek and vote his shares in favor of those corporate actions in Section 5.8.</w:t>
      </w:r>
    </w:p>
    <w:p>
      <w:pPr>
        <w:spacing w:after="0" w:line="171"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b w:val="1"/>
          <w:bCs w:val="1"/>
          <w:u w:val="single" w:color="auto"/>
          <w:color w:val="auto"/>
        </w:rPr>
        <w:t>Additional Documents</w:t>
      </w:r>
      <w:r>
        <w:rPr>
          <w:rFonts w:ascii="Times New Roman" w:cs="Times New Roman" w:eastAsia="Times New Roman" w:hAnsi="Times New Roman"/>
          <w:sz w:val="18"/>
          <w:szCs w:val="18"/>
          <w:color w:val="auto"/>
        </w:rPr>
        <w:t>. On or prior to the Closing Date or any Additional Closing Date, as the case may be, the Underwriter and its counsel shall have received such information, certificates and other additional documents from the Company as they may reasonably require for the purpose of enabling them to pass upon the issuance and sale of the Closing Units as contemplated herein or in order to evidence the accuracy of any of the representations and warranties, or the satisfaction of any of the covenants, closing conditions or other obligations, contained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other documents delivered pursuant to this Agreement will be deemed to be in compliance with the provisions hereof only if they are reasonably satisfactory in form and substance to counsel for the Underwriter.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condition specified in this Section 8 is not satisfied when and as required to be satisfied, this Agreement and all obligations of the Underwriter hereunder may be terminated by the Underwriter by notice to the Company at any time on or prior to the Closing Date or any Additional Closing Date, as the case may be, which termination shall be without liability on the part of any party to any other party, except that the Company shall continue to be liable for the payment of expenses under Section 7 and Section 12 hereof and except that the provisions of Section 9 and Section 10 hereof shall at all times be effective and shall survive any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u w:val="single" w:color="auto"/>
          <w:color w:val="auto"/>
        </w:rPr>
        <w:t>Indemnification of the Underwriter by the Company</w:t>
      </w:r>
      <w:r>
        <w:rPr>
          <w:rFonts w:ascii="Times New Roman" w:cs="Times New Roman" w:eastAsia="Times New Roman" w:hAnsi="Times New Roman"/>
          <w:sz w:val="18"/>
          <w:szCs w:val="18"/>
          <w:color w:val="auto"/>
        </w:rPr>
        <w:t>. The Company agrees to indemnify and hold harmless the Underwriter, its Affiliates, directors, officers, employees and agents and each person, if any, who controls the Underwriter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the omission or alleged omission therefrom of a material fact required to be stated therein or necessary in order to make the statements therein not misleading, or (ii) any untrue statement or alleged untrue statement of a material fact contained in any Pricing Disclosure Package (including any Pricing Disclosure Package that has subsequently been amended), the Final Prospectus (or any amendment or supplement thereto), any Preliminary Prospectus, any Issuer Information, any Issuer Free Writing Prospectus, any Written Testing-the-Waters Communication or any Road Show, or the omission or alleged omission therefrom of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the Underwriter Information. The indemnity agreement set forth in this Section 9.1 shall be in addition to any liabilities that the Company may otherwise have.</w:t>
      </w:r>
    </w:p>
    <w:p>
      <w:pPr>
        <w:spacing w:after="0" w:line="18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u w:val="single" w:color="auto"/>
          <w:color w:val="auto"/>
        </w:rPr>
        <w:t>Indemnification of the Company by the Underwriter</w:t>
      </w:r>
      <w:r>
        <w:rPr>
          <w:rFonts w:ascii="Times New Roman" w:cs="Times New Roman" w:eastAsia="Times New Roman" w:hAnsi="Times New Roman"/>
          <w:sz w:val="18"/>
          <w:szCs w:val="18"/>
          <w:color w:val="auto"/>
        </w:rPr>
        <w:t>. The Underwriter agrees to indemnify and hold harmless the Company, its directors, each officer who signed the Registration Statement and each person, if any, who controls the Company within the meaning of Section 15 of the Securities Act or Section 20 of the Exchange Act from and against any and all losses, claims, damages and liabilities (including, without limitation, all reasonable legal fees and other expenses incurred in connection with any suit, action or proceeding or any claim asserted, as such fees and expenses are incurred), joint or several, to the same extent as the indemnity set forth in Section 9.1 hereof; provided, however, that the Underwriter shall be liable only to the extent that any untrue statement or omission or alleged untrue statement or omission was made in the Registration Statement (or any amendment or supplement thereto), any Pricing Disclosure Package (including any Pricing Disclosure Package that has subsequently been amended), the Final Prospectus (or any amendment or supplement thereto), any Preliminary Prospectus, any Issuer Information, any Issuer Free Writing Prospectus, any Written Testing-the-Waters Communication or any Road Show in reliance upon, and in conformity with, the Underwriter Information relating to the Underwriter. The indemnity agreement set forth in this Section 9 shall be in addition to any liabilities that the Underwriter may otherwise have.</w:t>
      </w:r>
    </w:p>
    <w:p>
      <w:pPr>
        <w:spacing w:after="0" w:line="182"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u w:val="single" w:color="auto"/>
          <w:color w:val="auto"/>
        </w:rPr>
        <w:t>Notifications and Other Indemnification Procedures</w:t>
      </w:r>
      <w:r>
        <w:rPr>
          <w:rFonts w:ascii="Times New Roman" w:cs="Times New Roman" w:eastAsia="Times New Roman" w:hAnsi="Times New Roman"/>
          <w:sz w:val="18"/>
          <w:szCs w:val="18"/>
          <w:color w:val="auto"/>
        </w:rPr>
        <w:t>. If any suit, action, proceeding (including any governmental or regulatory investigation), claim or demand shall be brought or asserted against any person in respect of which indemnification may be sought pursuant to any of the preceding subsections of this Section 9, such person (the “</w:t>
      </w:r>
      <w:r>
        <w:rPr>
          <w:rFonts w:ascii="Times New Roman" w:cs="Times New Roman" w:eastAsia="Times New Roman" w:hAnsi="Times New Roman"/>
          <w:sz w:val="18"/>
          <w:szCs w:val="18"/>
          <w:b w:val="1"/>
          <w:bCs w:val="1"/>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b w:val="1"/>
          <w:bCs w:val="1"/>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any of the preceding subsections of this Section 9 except to the extent that it has been materially prejudiced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failure to notify the Indemnifying Person shall not relieve it from any liability that it may have to an Indemnified Person otherwise than under any of the preceding subsections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fees and expenses of more than one separate firm (in addition to any local counsel) for all Indemnified Persons, and that all such fees and expenses shall be paid or reimbursed as they are incurred. Any such separate firm for (i) the Underwriter, its Affiliates, directors, officers, employees and agents and each person, if any, who controls the Underwriter within the meaning of Section 15 of the Securities Act or Section 20 of the Exchange Act shall be designated in writing by the Underwriter; and (ii) the Company, its directors, its officers who signed the Registration Statement and each person, if any, who controls the Company within the meaning of Section 15 of the Securities Act or Section 20 of the Exchange Act shall be designated in writing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26" w:name="page27"/>
    <w:bookmarkEnd w:id="26"/>
    <w:p>
      <w:pPr>
        <w:jc w:val="both"/>
        <w:ind w:left="652"/>
        <w:spacing w:after="0" w:line="25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u w:val="single" w:color="auto"/>
          <w:color w:val="auto"/>
        </w:rPr>
        <w:t>Settlements</w:t>
      </w:r>
      <w:r>
        <w:rPr>
          <w:rFonts w:ascii="Times New Roman" w:cs="Times New Roman" w:eastAsia="Times New Roman" w:hAnsi="Times New Roman"/>
          <w:sz w:val="18"/>
          <w:szCs w:val="18"/>
          <w:color w:val="auto"/>
        </w:rPr>
        <w:t>. The Indemnifying Person under this Section 9 shall not be liable for any settlement of any proceeding effected without its written consent, which consent may not be unreasonably withheld, but if settled with such consent or if there be a final judgment for the plaintiff, the Indemnifying Person agrees to indemnify the Indemnified Person from and against any loss, claim, damage, liability or expense by reason of such settlement or judgment. Notwithstanding the foregoing sentence, if at any time an Indemnified Person shall have requested an Indemnifying Person to reimburse the Indemnified Person for any reasonably incurred and documented fees and expenses of counsel as contemplated by this Section 9, the Indemnifying Person agrees that it shall be liable for any settlement of any proceeding effected without its written consent if (i) such settlement is entered into more than forty-five (45) days after receipt by such Indemnifying Person of the aforesaid request, (ii) such Indemnifying Person shall not have reimbursed the Indemnified Person in accordance with such request, or shall not have disputed in good faith the Indemnified Person’s entitlement to such reimbursement, prior to the date of such settlement and (iii) such Indemnified Person shall have given the Indemnifying Person at least forty-five (45) days’ prior notice of its intention to settle. No Indemnifying Person shall, without the prior written consent of the Indemnified Person effect any settlement, compromise or consent to the entry of judgment in any pending or threatened action, suit or proceeding in respect of which any Indemnified Person is or could have been a party and indemnity was or could have been sought hereunder by such Indemnified Person, unless such settlement, compromise or consent (x) includes an unconditional release of such Indemnified Person, in form and substance reasonably satisfactory to such Indemnified Person, from and against all liability on claims that are the subject matter of such action, suit or proceeding and (y) does not include any statements as to or any findings of fault, culpability or failure to act by or on behalf of any Indemnified Person.</w:t>
      </w:r>
    </w:p>
    <w:p>
      <w:pPr>
        <w:spacing w:after="0" w:line="195" w:lineRule="exact"/>
        <w:rPr>
          <w:sz w:val="20"/>
          <w:szCs w:val="20"/>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To the extent the indemnification provided for in Section 9 hereof is unavailable to or insufficient to hold harmless an Indemnified Person in respect of any losses, claims, damages, liabilities or expenses referred to therein, then each Indemnifying Person, in lieu of indemnifying such Indemnified Person thereunder, shall contribute to the aggregate amount paid or payable by such Indemnified Person, as incurred, as a result of any losses, claims, damages, liabilities or expenses referred to therein (i) in such proportion as is appropriate to reflect the relative benefits received by the Company, on the one hand, and the Underwriter, on the other hand, from the offering of the Closing Units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 on the other hand, in connection with the statements or omissions that resulted in such losses, claims, damages, liabilities or expenses, as well as any other relevant equitable considerations. The relative benefits received by the Company, on the one hand, and the Underwriter, on the other hand, in connection with the offering of the Closing Units pursuant to this Agreement shall be deemed to be in the same respective proportions as the total net proceeds from the offering of the Closing Units pursuant to this Agreement (before deducting expenses) received by the Company, on the one hand, and the total underwriting discounts and commissions received by the Underwriter, on the other hand, in each case as set forth in the table on the cover of the Final Prospectus bear to the aggregate initial offering price of the Closing Units. The relative fault of the Company, on the one hand, and the Underwriter, on the other hand, shall be determined by reference to, among other things, whether the untrue or alleged untrue statement of a material fact or omission or alleged omission to state a material fact relates to information supplied by the Company, on the one hand, or the Underwriter,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27" w:name="page28"/>
    <w:bookmarkEnd w:id="27"/>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 xml:space="preserve">10.2. The amount paid or payable by a party as a result of the losses, claims, damages, liabilities and expenses referred to above shall be deemed to include, subject to the limitations set forth in Section 9 hereof, all reasonable legal or other fees or expenses incurred by such party in connection with investigating or defending any action or claim. The provisions set forth in Section 9 hereof with respect to notice of commencement of any action shall apply if a claim for contribution is to be made under this Section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 additional notice shall be required with respect to any action for which notice has been given under Section 9 hereof for purposes of indemnification.</w:t>
      </w:r>
    </w:p>
    <w:p>
      <w:pPr>
        <w:spacing w:after="0" w:line="183" w:lineRule="exact"/>
        <w:rPr>
          <w:sz w:val="20"/>
          <w:szCs w:val="20"/>
          <w:color w:val="auto"/>
        </w:rPr>
      </w:pPr>
    </w:p>
    <w:p>
      <w:pPr>
        <w:jc w:val="both"/>
        <w:ind w:left="652"/>
        <w:spacing w:after="0" w:line="275" w:lineRule="auto"/>
        <w:rPr>
          <w:sz w:val="20"/>
          <w:szCs w:val="20"/>
          <w:color w:val="auto"/>
        </w:rPr>
      </w:pPr>
      <w:r>
        <w:rPr>
          <w:rFonts w:ascii="Times New Roman" w:cs="Times New Roman" w:eastAsia="Times New Roman" w:hAnsi="Times New Roman"/>
          <w:sz w:val="18"/>
          <w:szCs w:val="18"/>
          <w:color w:val="auto"/>
        </w:rPr>
        <w:t>10.3. The Company and the Underwriter agree that it would not be just and equitable if contribution pursuant to this Section 10 was determined by pro rata allocation or by any other method of allocation which does not take account of the equitable considerations referred to in this Section 10.</w:t>
      </w:r>
    </w:p>
    <w:p>
      <w:pPr>
        <w:spacing w:after="0" w:line="390"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10.4. Notwithstanding the provisions of this Section 10, the Underwriter shall not be required to contribute any amount in excess of the amount by which the total discounts and commissions received by the Underwriter in connection with the Closing Units distributed by it exceeds the amount of any damages the Underwriter has otherwise paid or become liable to pay by reason of any untrue or alleged untrue statement or omission or alleged omission. No person guilty of fraudulent misrepresentation (within the meaning of Section 11 of the Securities Act) shall be entitled to contribution from any person who was not guilty of such fraudulent misrepresentation.</w:t>
      </w:r>
    </w:p>
    <w:p>
      <w:pPr>
        <w:spacing w:after="0" w:line="183"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18"/>
          <w:szCs w:val="18"/>
          <w:color w:val="auto"/>
        </w:rPr>
        <w:t>10.5. For purposes of this Section 10, each director, officer, employee and agent of the Underwriter and each person, if any, who controls the Underwriter within the meaning of Section 15 of the Securities Act or Section 20 of the Exchange Act shall have the same rights to contribution as the Underwriter, and each director and officer of the Company who signed the Registration Statement, and each person, if any, who controls the Company with the meaning of Section 15 of the Securities Act or Section 20 of the Exchange Act, shall have the same rights to contribution as the Company.</w:t>
      </w:r>
    </w:p>
    <w:p>
      <w:pPr>
        <w:spacing w:after="0" w:line="183"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10.6. The remedies provided for in Section 9 and Section 10 hereof are not exclusive and shall not limit any rights or remedies which may otherwise be available to any Indemnified Person at law or in equity.</w:t>
      </w:r>
    </w:p>
    <w:p>
      <w:pPr>
        <w:spacing w:after="0" w:line="158"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5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Prior to the delivery of and payment for the Closing Units on the Closing Date or any Additional Closing Date, as the case may be, this Agreement may be terminated by the Underwriter in the absolute discretion of the Underwriter by notice given to the Company if after the execution and delivery of this Agreement: (i) trading or quotation of any securities issued or guaranteed by the Company shall have been suspended or materially limited on any securities exchange, quotation system or in the over-the-counter market; (ii) trading in securities generally on any of the New York Stock Exchange, the Nasdaq Stock Exchange or the over-the-counter market shall have been suspended or materially limited; (iii) a general banking moratorium on commercial banking activities shall have been declared by federal or New York state authorities;</w:t>
      </w:r>
    </w:p>
    <w:p>
      <w:pPr>
        <w:spacing w:after="0" w:line="5" w:lineRule="exact"/>
        <w:rPr>
          <w:rFonts w:ascii="Times New Roman" w:cs="Times New Roman" w:eastAsia="Times New Roman" w:hAnsi="Times New Roman"/>
          <w:sz w:val="18"/>
          <w:szCs w:val="18"/>
          <w:color w:val="auto"/>
        </w:rPr>
      </w:pPr>
    </w:p>
    <w:p>
      <w:pPr>
        <w:jc w:val="both"/>
        <w:ind w:left="652" w:hanging="4"/>
        <w:spacing w:after="0" w:line="251"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material disruption in commercial banking or securities settlement, payment or clearance services in the United States; (v) there shall have occurred any outbreak or escalation of national or international hostilities or any crisis or calamity, or any change in the United States or international financial markets, or any substantial change or development involving a prospective substantial change in general economic, financial or political conditions in the United States or internationally, as in the judgment of the Underwriter is material and adverse and makes it impracticable or inadvisable to proceed with the offering, sale or delivery of the Closing Units on the Closing Date or any Additional Closing Date, as the case may be, in the manner and on the terms described in the Pricing Disclosure Package or to enforce contracts for the sale of securities; or (vi) the Company or any of its subsidiaries shall have sustained a loss by strike, fire, flood, earthquake, accident or other calamity of such character as in the judgment of the Underwriter may interfere materially with the conduct of the business and operations of the Company and its subsidiaries, considered as one entity, regardless of whether or not such loss shall have been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28" w:name="page29"/>
    <w:bookmarkEnd w:id="28"/>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11.2. Any termination pursuant to this Section 11 shall be without liability on the part of: (x) the Company to the Underwriter, except that the Company shall continue to be liable for the payment of expenses under Section 7; (y) the Underwriter to the Company; or (z) any party hereto to any other party except that the provisions of Section 9, Section 10 and this Section 11 hereof shall at all times be effective and shall survive any such termination.</w:t>
      </w:r>
    </w:p>
    <w:p>
      <w:pPr>
        <w:spacing w:after="0" w:line="176" w:lineRule="exact"/>
        <w:rPr>
          <w:sz w:val="20"/>
          <w:szCs w:val="20"/>
          <w:color w:val="auto"/>
        </w:rPr>
      </w:pPr>
    </w:p>
    <w:p>
      <w:pPr>
        <w:jc w:val="both"/>
        <w:ind w:left="652" w:hanging="652"/>
        <w:spacing w:after="0" w:line="259"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Reimbursement of the Underwriter’s Expenses</w:t>
      </w:r>
      <w:r>
        <w:rPr>
          <w:rFonts w:ascii="Times New Roman" w:cs="Times New Roman" w:eastAsia="Times New Roman" w:hAnsi="Times New Roman"/>
          <w:sz w:val="18"/>
          <w:szCs w:val="18"/>
          <w:color w:val="auto"/>
        </w:rPr>
        <w:t>. If (a) the Company fails to deliver the Closing Units to the Underwriter for any reason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or any Additional Closing Date, as the case may be, in accordance with this Agreement or (b) the Underwriter declines to purchase the Closing Units for any reason permitted under this Agreement, then the Company agrees to reimburse the Underwriter for all reasonable and documented out-of-pocket costs and expenses (including the reasonable and documented fees and expenses of counsel to the Underwriter) incurred by the Underwriter in connection with this Agreement and the applicable offering contemplated hereby.</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7"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Indemnities to Survive Delivery</w:t>
      </w:r>
      <w:r>
        <w:rPr>
          <w:rFonts w:ascii="Times New Roman" w:cs="Times New Roman" w:eastAsia="Times New Roman" w:hAnsi="Times New Roman"/>
          <w:sz w:val="18"/>
          <w:szCs w:val="18"/>
          <w:color w:val="auto"/>
        </w:rPr>
        <w:t>. The respective indemnities, rights of contribution, agreements,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other statements of the Company and the Underwriter set forth in or made pursuant to this Agreement or made by or on behalf of the Company or the Underwriter pursuant to this Agreement or any certificate delivered pursuant hereto shall remain in full force and effect, regardless of any investigation made by or on behalf of the Underwriter, the Company or any of their respective officers or directors or any controlling person, as the case may be, and shall survive delivery of and payment for the Closing Units sold hereunder and any termination of this Agreement.</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duly given (i) when delivered by hand (with written confirmation of receipt), (ii) when received by the addressee if sent by a nationally recognized overnight courier (receipt requested), (iii) on the date sent by facsimile (with confirmation of transmission) or email of a PDF document if sent during normal business hours of the recipient, and on the next Business Day if sent after normal business hours of the recipient, or (iv) on the third day after the date mailed, by certified or registered mail (in each case, return receipt requested, postage pre-paid). Such communications must be sent to the respective parties at the following addresses (or at such other address for a party as shall be specified in a notice given in accordance with this Section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If to the Underwriter: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1345 Avenue of the Americas, 27th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reide@aegiscap.com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Eide</w:t>
      </w:r>
    </w:p>
    <w:p>
      <w:pPr>
        <w:spacing w:after="0" w:line="200" w:lineRule="exact"/>
        <w:rPr>
          <w:sz w:val="20"/>
          <w:szCs w:val="20"/>
          <w:color w:val="auto"/>
        </w:rPr>
      </w:pPr>
    </w:p>
    <w:p>
      <w:pPr>
        <w:sectPr>
          <w:pgSz w:w="11900" w:h="16838" w:orient="portrait"/>
          <w:cols w:equalWidth="0" w:num="2">
            <w:col w:w="2840" w:space="720"/>
            <w:col w:w="7680"/>
          </w:cols>
          <w:pgMar w:left="320" w:top="661"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Kaufman &amp; Canoles,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James Center,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 E. Cary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VA 23219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awbasch@kaufcan.com</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jbwilliston@kaufcan.com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Anthony Basch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Britton Williston</w:t>
      </w:r>
    </w:p>
    <w:p>
      <w:pPr>
        <w:spacing w:after="0" w:line="200" w:lineRule="exact"/>
        <w:rPr>
          <w:sz w:val="20"/>
          <w:szCs w:val="20"/>
          <w:color w:val="auto"/>
        </w:rPr>
      </w:pPr>
    </w:p>
    <w:p>
      <w:pPr>
        <w:sectPr>
          <w:pgSz w:w="11900" w:h="16838" w:orient="portrait"/>
          <w:cols w:equalWidth="0" w:num="2">
            <w:col w:w="2840" w:space="720"/>
            <w:col w:w="7680"/>
          </w:cols>
          <w:pgMar w:left="320" w:top="66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Expion360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 97756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brian.schaffner@expion360.com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Schaffner</w:t>
      </w:r>
    </w:p>
    <w:p>
      <w:pPr>
        <w:spacing w:after="0" w:line="200" w:lineRule="exact"/>
        <w:rPr>
          <w:sz w:val="20"/>
          <w:szCs w:val="20"/>
          <w:color w:val="auto"/>
        </w:rPr>
      </w:pPr>
    </w:p>
    <w:p>
      <w:pPr>
        <w:sectPr>
          <w:pgSz w:w="11900" w:h="16838" w:orient="portrait"/>
          <w:cols w:equalWidth="0" w:num="2">
            <w:col w:w="2840" w:space="720"/>
            <w:col w:w="7680"/>
          </w:cols>
          <w:pgMar w:left="320" w:top="66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Stradling Yocca Carlson &amp; Rauth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660 Newport Center Drive, Suite 1600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RWilkins@stradlinglaw.com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Ryan C. Wilkins</w:t>
      </w:r>
    </w:p>
    <w:p>
      <w:pPr>
        <w:spacing w:after="0" w:line="200" w:lineRule="exact"/>
        <w:rPr>
          <w:sz w:val="20"/>
          <w:szCs w:val="20"/>
          <w:color w:val="auto"/>
        </w:rPr>
      </w:pPr>
    </w:p>
    <w:p>
      <w:pPr>
        <w:sectPr>
          <w:pgSz w:w="11900" w:h="16838" w:orient="portrait"/>
          <w:cols w:equalWidth="0" w:num="2">
            <w:col w:w="2840" w:space="720"/>
            <w:col w:w="7680"/>
          </w:cols>
          <w:pgMar w:left="320" w:top="661" w:right="339" w:bottom="1440" w:gutter="0" w:footer="0" w:header="0"/>
          <w:type w:val="continuous"/>
        </w:sectPr>
      </w:pPr>
    </w:p>
    <w:p>
      <w:pPr>
        <w:spacing w:after="0" w:line="7"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Any party hereto may change the address or facsimile number for receipt of communications by giving written notice to the others in accordance with this Section 14.</w:t>
      </w:r>
    </w:p>
    <w:p>
      <w:pPr>
        <w:spacing w:after="0" w:line="158" w:lineRule="exact"/>
        <w:rPr>
          <w:sz w:val="20"/>
          <w:szCs w:val="20"/>
          <w:color w:val="auto"/>
        </w:rPr>
      </w:pPr>
    </w:p>
    <w:p>
      <w:pPr>
        <w:jc w:val="both"/>
        <w:ind w:left="660" w:hanging="652"/>
        <w:spacing w:after="0" w:line="25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This Agreement shall inure solely to the benefit of and be binding upon the Underwriter, the Company and the other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referred to in Section 9 and Section 10 hereof, and in each case their respective successors. Nothing in this Agreement is intended, or shall be construed, to give any other person or entity any legal or equitable right, benefit, remedy or claim under, or in respect of or by virtue of, this Agreement or any provision contained herein. The term “successors,” as used herein, shall not include any purchaser of the Closing Units from the Underwriter merely by reason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0" w:name="page31"/>
    <w:bookmarkEnd w:id="30"/>
    <w:p>
      <w:pPr>
        <w:jc w:val="both"/>
        <w:ind w:left="652" w:hanging="652"/>
        <w:spacing w:after="0" w:line="262"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whether sounding in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tort or statute, shall be governed by and construed in accordance with the internal laws of the State of New York applicable to agreements made and to be performed in such state (including its statute of limitations), without giving effect to the conflict of laws provisions thereof to the extent such principles or rules would require or permit the application of the laws of any jurisdiction other than those of the State of New York. The Company has irrevocably appointed The Corporation Trust Company,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color w:val="auto"/>
        </w:rPr>
        <w:t>. No legal suit, action or proceeding arising out of or relating to this Agreement or the transactions contemplated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u w:val="single" w:color="auto"/>
          <w:color w:val="auto"/>
        </w:rPr>
        <w:t>Related Proceeding</w:t>
      </w:r>
      <w:r>
        <w:rPr>
          <w:rFonts w:ascii="Times New Roman" w:cs="Times New Roman" w:eastAsia="Times New Roman" w:hAnsi="Times New Roman"/>
          <w:sz w:val="18"/>
          <w:szCs w:val="18"/>
          <w:color w:val="auto"/>
        </w:rPr>
        <w:t>”) may be commenced, prosecuted or continued in any court other than the courts of the State of New York located in the City and County of New York or in the United States District Court for the Southern District of New York, which courts (collectively, the “</w:t>
      </w:r>
      <w:r>
        <w:rPr>
          <w:rFonts w:ascii="Times New Roman" w:cs="Times New Roman" w:eastAsia="Times New Roman" w:hAnsi="Times New Roman"/>
          <w:sz w:val="18"/>
          <w:szCs w:val="18"/>
          <w:b w:val="1"/>
          <w:bCs w:val="1"/>
          <w:u w:val="single" w:color="auto"/>
          <w:color w:val="auto"/>
        </w:rPr>
        <w:t>Specified Courts</w:t>
      </w:r>
      <w:r>
        <w:rPr>
          <w:rFonts w:ascii="Times New Roman" w:cs="Times New Roman" w:eastAsia="Times New Roman" w:hAnsi="Times New Roman"/>
          <w:sz w:val="18"/>
          <w:szCs w:val="18"/>
          <w:color w:val="auto"/>
        </w:rPr>
        <w:t>”) shall have jurisdiction over the adjudication of any Related Proceeding, and the parties to this Agreement hereby irrevocably consent to the exclusive jurisdiction the Specified Courts and personal service of process with respect thereto. The parties to this Agreement hereby irrevocably waive any objection to the laying of venue of any Related Proceeding in the Specified Courts and irrevocably waive and agree not to plead or claim in any Specified Court that any Related Proceeding brought in any Specified Court has been brought in an inconvenient forum.</w:t>
      </w:r>
    </w:p>
    <w:p>
      <w:pPr>
        <w:spacing w:after="0" w:line="184"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Equitable Remedies</w:t>
      </w:r>
      <w:r>
        <w:rPr>
          <w:rFonts w:ascii="Times New Roman" w:cs="Times New Roman" w:eastAsia="Times New Roman" w:hAnsi="Times New Roman"/>
          <w:sz w:val="18"/>
          <w:szCs w:val="18"/>
          <w:color w:val="auto"/>
        </w:rPr>
        <w:t>. Each party to this Agreement acknowledges and agrees that (a) a breach or threatened breach by the Company of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Section 5.10 or Section 5.15 would give rise to irreparable harm to the Underwriter for which monetary damages would not be an adequate remedy and (b) if a breach or a threatened breach by the Company of any such obligations occurs, the Underwriter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5.10 or Section 5.15 and any other relief that may be available from a court of competent jurisdiction, without any requirement to (i) post a bond or other security, or (ii) prove actual damages or that monetary damages will not afford an adequate remedy. Each party to this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31" w:name="page32"/>
    <w:bookmarkEnd w:id="31"/>
    <w:p>
      <w:pPr>
        <w:ind w:left="652" w:hanging="652"/>
        <w:spacing w:after="0" w:line="286"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hereby irrevocably waive, to the fullest extent permitted by applicable law, any and all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trial by jury in any Related Proceeding.</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Fiduciary Relationship</w:t>
      </w:r>
      <w:r>
        <w:rPr>
          <w:rFonts w:ascii="Times New Roman" w:cs="Times New Roman" w:eastAsia="Times New Roman" w:hAnsi="Times New Roman"/>
          <w:sz w:val="18"/>
          <w:szCs w:val="18"/>
          <w:color w:val="auto"/>
        </w:rPr>
        <w:t>. The Company acknowledges and agrees that: (i) the purchase and sale of the Closing Units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determination of the offering price of the Closing Units and any related discounts and commissions, is an arm’s-length commercial transaction between the Company, on the one hand, and the Underwriter, on the other hand; (ii) in connection with each transaction contemplated hereby and the process leading to such transaction the Underwriter is and has been acting solely as a principal and is not the agent or fiduciary of the Company or its Affiliates, stockholders, members, partners, creditors or employees or any other party; (iii) the Underwriter has not assumed and will not assume an advisory or fiduciary responsibility in favor of the Company with respect to any of the transactions contemplated hereby or the process leading thereto (irrespective of whether the Underwriter has advised or is currently advising the Company on other matters) or any other obligation to the Company except the obligations expressly set forth in this Agreement; (iv) the Underwriter and its respective Affiliates may be engaged in a broad range of transactions that involve interests that differ from those of the Company, and the Underwriter has no obligation to disclose any of such interests by virtue of any fiduciary or advisory relationship; and (v) the Underwriter has not provided any legal, accounting, regulatory or tax advice in any jurisdiction with respect to the offering contemplated hereby, and the Company has consulted its own legal, accounting, regulatory and tax advisors to the extent they deemed appropriate. The Company waives and releases, to the full extent permitted by applicable law, any claims it may have against the Underwriter arising from an alleged breach of fiduciary duty in connection with the offering of the Closing Units or any matters leading up to the offering of the Closing Units.</w:t>
      </w:r>
    </w:p>
    <w:p>
      <w:pPr>
        <w:spacing w:after="0" w:line="185" w:lineRule="exact"/>
        <w:rPr>
          <w:rFonts w:ascii="Times New Roman" w:cs="Times New Roman" w:eastAsia="Times New Roman" w:hAnsi="Times New Roman"/>
          <w:sz w:val="18"/>
          <w:szCs w:val="18"/>
          <w:color w:val="auto"/>
        </w:rPr>
      </w:pPr>
    </w:p>
    <w:p>
      <w:pPr>
        <w:jc w:val="both"/>
        <w:ind w:left="652" w:hanging="652"/>
        <w:spacing w:after="0" w:line="262"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the USA Patriot Act</w:t>
      </w:r>
      <w:r>
        <w:rPr>
          <w:rFonts w:ascii="Times New Roman" w:cs="Times New Roman" w:eastAsia="Times New Roman" w:hAnsi="Times New Roman"/>
          <w:sz w:val="18"/>
          <w:szCs w:val="18"/>
          <w:color w:val="auto"/>
        </w:rPr>
        <w:t>. In accordance with the requirements of the USA Patriot Act (Title III of Pub. L. 107-56 (signed into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26, 2001)), the Underwriter is required to obtain, verify and record information that identifies their respective clients, including the Company, which information may include the name and address of its clients, as well as other information that will allow the Underwriter to properly identify their respective clients.</w:t>
      </w:r>
    </w:p>
    <w:p>
      <w:pPr>
        <w:spacing w:after="0" w:line="176"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any contemporaneous written agreements and any prior written agreements (to the extent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superseded by this Agreement) that relate to the offering of the Closing Units, represents the entire agreement among the Company and the Underwriter with respect to the preparation of the Registration Statement, the Pricing Disclosure Package, the Final Prospectus, each Preliminary Prospectus, each Issuer Free Writing Prospectus, each Testing-the-Waters Communication and each Road Show, the purchase and sale of the Closing Units and the conduct of the offering contemplated hereby.</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7"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or Waivers</w:t>
      </w:r>
      <w:r>
        <w:rPr>
          <w:rFonts w:ascii="Times New Roman" w:cs="Times New Roman" w:eastAsia="Times New Roman" w:hAnsi="Times New Roman"/>
          <w:sz w:val="18"/>
          <w:szCs w:val="18"/>
          <w:color w:val="auto"/>
        </w:rPr>
        <w:t>. No amendment or waiver of any provision of this Agreement, nor any consent or approval to any departure therefrom,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all the parties hereto. No waiver by any party shall operate or be construed as a waiver in respect of any failure, breach or default not expressly identified by such written waiver, whether of a similar or different character, and whether occurring before or after the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of any other right, remedy, power or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32" w:name="page33"/>
    <w:bookmarkEnd w:id="32"/>
    <w:p>
      <w:pPr>
        <w:ind w:left="660" w:hanging="652"/>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Headings</w:t>
      </w:r>
      <w:r>
        <w:rPr>
          <w:rFonts w:ascii="Times New Roman" w:cs="Times New Roman" w:eastAsia="Times New Roman" w:hAnsi="Times New Roman"/>
          <w:sz w:val="18"/>
          <w:szCs w:val="18"/>
          <w:color w:val="auto"/>
        </w:rPr>
        <w:t>. The headings herein are included for convenience of reference only and are not intended to be part of, or to affect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interpretation of, this Agreement.</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one and the same agreement. Counterparts may be delivered via facsimile, email (including PDF or any electronic signature complying with the U.S. federal ESIGN Act of 2000) or other transmission method, and any counterpart so delivered will be deemed to have been duly and validly delivered and be valid and effective for all purposes.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 In the event that the Underwriter is a Covered Entity (as defined below)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(as defined below)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In the event that the Underwriter is a Covered Entity or a BHC Act Affiliate (as defined below) of the Underwriter becomes subject to a proceeding under a U.S. Special Resolution Regime, Default Rights (as defined below) under this Agreement that may be exercised against the Underwriter is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27.3.As used in this section: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27.3.1. “</w:t>
      </w:r>
      <w:r>
        <w:rPr>
          <w:rFonts w:ascii="Times New Roman" w:cs="Times New Roman" w:eastAsia="Times New Roman" w:hAnsi="Times New Roman"/>
          <w:sz w:val="18"/>
          <w:szCs w:val="18"/>
          <w:b w:val="1"/>
          <w:bCs w:val="1"/>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27.3.2. “</w:t>
      </w:r>
      <w:r>
        <w:rPr>
          <w:rFonts w:ascii="Times New Roman" w:cs="Times New Roman" w:eastAsia="Times New Roman" w:hAnsi="Times New Roman"/>
          <w:sz w:val="18"/>
          <w:szCs w:val="18"/>
          <w:b w:val="1"/>
          <w:bCs w:val="1"/>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27.3.2.1</w:t>
            </w:r>
          </w:p>
        </w:tc>
        <w:tc>
          <w:tcPr>
            <w:tcW w:w="8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tc>
      </w:tr>
      <w:tr>
        <w:trPr>
          <w:trHeight w:val="432"/>
        </w:trPr>
        <w:tc>
          <w:tcPr>
            <w:tcW w:w="3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27.3.2.2</w:t>
            </w:r>
          </w:p>
        </w:tc>
        <w:tc>
          <w:tcPr>
            <w:tcW w:w="8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tc>
      </w:tr>
      <w:tr>
        <w:trPr>
          <w:trHeight w:val="453"/>
        </w:trPr>
        <w:tc>
          <w:tcPr>
            <w:tcW w:w="30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3" w:name="page34"/>
    <w:bookmarkEnd w:id="33"/>
    <w:p>
      <w:pPr>
        <w:ind w:left="1300"/>
        <w:spacing w:after="0"/>
        <w:tabs>
          <w:tab w:leader="none" w:pos="2840" w:val="left"/>
        </w:tabs>
        <w:rPr>
          <w:sz w:val="20"/>
          <w:szCs w:val="20"/>
          <w:color w:val="auto"/>
        </w:rPr>
      </w:pPr>
      <w:r>
        <w:rPr>
          <w:rFonts w:ascii="Times New Roman" w:cs="Times New Roman" w:eastAsia="Times New Roman" w:hAnsi="Times New Roman"/>
          <w:sz w:val="18"/>
          <w:szCs w:val="18"/>
          <w:color w:val="auto"/>
        </w:rPr>
        <w:t>27.3.2.3</w:t>
      </w:r>
      <w:r>
        <w:rPr>
          <w:sz w:val="20"/>
          <w:szCs w:val="20"/>
          <w:color w:val="auto"/>
        </w:rPr>
        <w:tab/>
      </w:r>
      <w:r>
        <w:rPr>
          <w:rFonts w:ascii="Times New Roman" w:cs="Times New Roman" w:eastAsia="Times New Roman" w:hAnsi="Times New Roman"/>
          <w:sz w:val="17"/>
          <w:szCs w:val="17"/>
          <w:color w:val="auto"/>
        </w:rPr>
        <w:t>a “covered FSI” as that term is defined in, and interpreted in accordance with, 12 C.F.R. § 382.2(b).</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27.3.3. “</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27.3.4. “</w:t>
      </w:r>
      <w:r>
        <w:rPr>
          <w:rFonts w:ascii="Times New Roman" w:cs="Times New Roman" w:eastAsia="Times New Roman" w:hAnsi="Times New Roman"/>
          <w:sz w:val="18"/>
          <w:szCs w:val="18"/>
          <w:b w:val="1"/>
          <w:bCs w:val="1"/>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[XPON Underwriting Agreement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301625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[XPON Underwriting Agreement Signature Page]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the foregoing is in accordance with your understanding, please indicate your acceptance of this Agreement by signing in the space provided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00" w:lineRule="exact"/>
        <w:rPr>
          <w:sz w:val="20"/>
          <w:szCs w:val="20"/>
          <w:color w:val="auto"/>
        </w:rPr>
      </w:pPr>
    </w:p>
    <w:p>
      <w:pPr>
        <w:spacing w:after="0" w:line="2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/s/Brian Schaffner</w:t>
      </w:r>
    </w:p>
    <w:p>
      <w:pPr>
        <w:spacing w:after="0" w:line="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 Brian Schaffner</w:t>
      </w:r>
    </w:p>
    <w:p>
      <w:pPr>
        <w:spacing w:after="0" w:line="9" w:lineRule="exact"/>
        <w:rPr>
          <w:sz w:val="20"/>
          <w:szCs w:val="20"/>
          <w:color w:val="auto"/>
        </w:rPr>
      </w:pPr>
    </w:p>
    <w:p>
      <w:pPr>
        <w:ind w:left="4300"/>
        <w:spacing w:after="0"/>
        <w:tabs>
          <w:tab w:leader="none" w:pos="4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AEGIS CAPITAL CORP.</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u w:val="single" w:color="auto"/>
          <w:color w:val="auto"/>
        </w:rPr>
        <w:t>/s/Robert Eide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Eide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160" w:type="dxa"/>
            <w:vAlign w:val="bottom"/>
          </w:tcPr>
          <w:p>
            <w:pPr>
              <w:ind w:left="4940"/>
              <w:spacing w:after="0"/>
              <w:rPr>
                <w:sz w:val="20"/>
                <w:szCs w:val="20"/>
                <w:color w:val="auto"/>
              </w:rPr>
            </w:pPr>
            <w:r>
              <w:rPr>
                <w:rFonts w:ascii="Times New Roman" w:cs="Times New Roman" w:eastAsia="Times New Roman" w:hAnsi="Times New Roman"/>
                <w:sz w:val="18"/>
                <w:szCs w:val="18"/>
                <w:b w:val="1"/>
                <w:bCs w:val="1"/>
                <w:color w:val="auto"/>
              </w:rPr>
              <w:t>SCHEDULE 1.14</w:t>
            </w:r>
          </w:p>
        </w:tc>
        <w:tc>
          <w:tcPr>
            <w:tcW w:w="18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816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Pricing Disclosure Package</w:t>
            </w: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Closing Shares: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50,000,000</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Number of Units containing Firm Shares (“Common Units”)</w:t>
            </w:r>
          </w:p>
        </w:tc>
        <w:tc>
          <w:tcPr>
            <w:tcW w:w="18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18,282,000</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Number of Units containing Pre-funded Warrants (“Pre-funded Units”)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31,718,000</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Option Shares:</w:t>
            </w:r>
          </w:p>
        </w:tc>
        <w:tc>
          <w:tcPr>
            <w:tcW w:w="18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2,742,300</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Option Pre-funded Warrants: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4,757,700</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Option Series A Warrants:</w:t>
            </w:r>
          </w:p>
        </w:tc>
        <w:tc>
          <w:tcPr>
            <w:tcW w:w="18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Option Series B Warrants:</w:t>
            </w:r>
          </w:p>
        </w:tc>
        <w:tc>
          <w:tcPr>
            <w:tcW w:w="18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Offering Price per Common Unit:</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Public Offering Price per Pre-funded Unit:</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0.199</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 per Pre-Funded Warrant:</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0.001</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Price per Series A Warrant per whole share:</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 per Series B Warrant:</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0.001</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Underwriting Discount per Common Unit and per Pre-funded Unit:</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0.014</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Non-accountable expense allowance per Common Unit and per Pre-funded Unit:</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0.002</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Price per Option Share:</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0.184</w:t>
            </w:r>
          </w:p>
        </w:tc>
      </w:tr>
      <w:tr>
        <w:trPr>
          <w:trHeight w:val="216"/>
        </w:trPr>
        <w:tc>
          <w:tcPr>
            <w:tcW w:w="8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Price per Option Pre-Funded Warrant:</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0.183</w:t>
            </w:r>
          </w:p>
        </w:tc>
      </w:tr>
      <w:tr>
        <w:trPr>
          <w:trHeight w:val="21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Price per full Option Series A or Series B Warrant:</w:t>
            </w:r>
          </w:p>
        </w:tc>
        <w:tc>
          <w:tcPr>
            <w:tcW w:w="1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0.001</w:t>
            </w:r>
          </w:p>
        </w:tc>
      </w:tr>
      <w:tr>
        <w:trPr>
          <w:trHeight w:val="668"/>
        </w:trPr>
        <w:tc>
          <w:tcPr>
            <w:tcW w:w="8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SCHEDULE 4.1.2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Securities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Closing</w:t>
            </w:r>
          </w:p>
        </w:tc>
        <w:tc>
          <w:tcPr>
            <w:tcW w:w="66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Option Securities to Be Purchased if the Maximum Over-Allotment</w:t>
            </w:r>
          </w:p>
        </w:tc>
      </w:tr>
      <w:tr>
        <w:trPr>
          <w:trHeight w:val="198"/>
        </w:trPr>
        <w:tc>
          <w:tcPr>
            <w:tcW w:w="248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Underwriter</w:t>
            </w:r>
          </w:p>
        </w:tc>
        <w:tc>
          <w:tcPr>
            <w:tcW w:w="2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Units to Be Purchased</w:t>
            </w:r>
          </w:p>
        </w:tc>
        <w:tc>
          <w:tcPr>
            <w:tcW w:w="490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b w:val="1"/>
                <w:bCs w:val="1"/>
                <w:color w:val="auto"/>
              </w:rPr>
              <w:t>Option Is Exercised</w:t>
            </w:r>
          </w:p>
        </w:tc>
        <w:tc>
          <w:tcPr>
            <w:tcW w:w="172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Aegis Capital Corp.</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50,000,000</w:t>
            </w: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Option Shares:</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2,742,300</w:t>
            </w:r>
          </w:p>
        </w:tc>
      </w:tr>
      <w:tr>
        <w:trPr>
          <w:trHeight w:val="216"/>
        </w:trPr>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Option Pre-funded Warrants:</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4,757,700</w:t>
            </w:r>
          </w:p>
        </w:tc>
      </w:tr>
      <w:tr>
        <w:trPr>
          <w:trHeight w:val="216"/>
        </w:trPr>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Number of Option Series A Warrants:</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15,000,000</w:t>
            </w:r>
          </w:p>
        </w:tc>
      </w:tr>
      <w:tr>
        <w:trPr>
          <w:trHeight w:val="234"/>
        </w:trPr>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Option Series B Warrants:</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7,500,000</w:t>
            </w:r>
          </w:p>
        </w:tc>
      </w:tr>
      <w:tr>
        <w:trPr>
          <w:trHeight w:val="650"/>
        </w:trPr>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81" w:right="339" w:bottom="1440" w:gutter="0" w:footer="0" w:header="0"/>
        </w:sectPr>
      </w:pPr>
    </w:p>
    <w:bookmarkStart w:id="37" w:name="page38"/>
    <w:bookmarkEnd w:id="37"/>
    <w:p>
      <w:pP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schedules and exhibits to this agreement have been omitted pursuant to Item 601(a)(5) of Regulation S-K. A copy of any omitted schedule and/or exhibit will be furnished to the SEC upon request.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2.5.4 Free Writing Prospectuses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2.43 Significant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5.10.3.1 Form of Lock-Up Waiver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5.10.3.2 Form of Lock-Up Waiver Press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8.9 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659" w:right="639" w:bottom="1440" w:gutter="0" w:footer="0" w:header="0"/>
        </w:sectPr>
      </w:pPr>
    </w:p>
    <w:bookmarkStart w:id="38" w:name="page39"/>
    <w:bookmarkEnd w:id="38"/>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WARRANT TO PURCHASE COMMON STOCK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Initial Exercise Date: August 8, 2024</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 Date: August 8, 2024</w:t>
      </w:r>
    </w:p>
    <w:p>
      <w:pPr>
        <w:spacing w:after="0" w:line="200" w:lineRule="exact"/>
        <w:rPr>
          <w:sz w:val="20"/>
          <w:szCs w:val="20"/>
          <w:color w:val="auto"/>
        </w:rPr>
      </w:pPr>
    </w:p>
    <w:p>
      <w:pPr>
        <w:sectPr>
          <w:pgSz w:w="11900" w:h="16838" w:orient="portrait"/>
          <w:cols w:equalWidth="0" w:num="2">
            <w:col w:w="7840" w:space="720"/>
            <w:col w:w="2680"/>
          </w:cols>
          <w:pgMar w:left="320" w:top="117" w:right="339" w:bottom="1440" w:gutter="0" w:footer="0" w:header="0"/>
          <w:type w:val="continuous"/>
        </w:sectPr>
      </w:pPr>
    </w:p>
    <w:p>
      <w:pPr>
        <w:spacing w:after="0" w:line="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PRE-FUNDED WARRANT TO PURCHASE COMMON STOCK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certifies that, for value received, [●] or its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until this Warrant is exercised in full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but not thereafter, to subscribe for and purchase from Expion360 Inc., a Nevada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up to [●] shares (as subject to adjustment hereunder,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The purchase price of one (1) share of Common Stock under this Warrant shall be equal to the Exercise Price, as defined in Section 2.2.</w:t>
      </w:r>
    </w:p>
    <w:p>
      <w:pPr>
        <w:spacing w:after="0" w:line="179" w:lineRule="exact"/>
        <w:rPr>
          <w:sz w:val="20"/>
          <w:szCs w:val="20"/>
          <w:color w:val="auto"/>
        </w:rPr>
      </w:pPr>
    </w:p>
    <w:p>
      <w:pPr>
        <w:ind w:left="660" w:right="20" w:hanging="652"/>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Warrant or in the Underwriting Agreement dated August 7, 2024,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have the meanings indicated in this Section 1:</w:t>
      </w:r>
    </w:p>
    <w:p>
      <w:pPr>
        <w:spacing w:after="0" w:line="154"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spacing w:after="0"/>
        <w:tabs>
          <w:tab w:leader="none" w:pos="7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of the Company, $0.001 par value per share, and any other class of securities into which such securities may hereafter be reclassified or changed.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333-280996).</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means Pacific Stock Transfer Company, the current transfer agent of the Company, with a mailing address of 6725 Via Austi Pkwy, Suite 300, Las Vegas, Nevada 89119 and an email address of awalker@pacificstocktransfer.com, and any successor transfer agent of the Company.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u w:val="single" w:color="auto"/>
          <w:color w:val="auto"/>
        </w:rPr>
        <w:t>Underwriting Agreement</w:t>
      </w:r>
      <w:r>
        <w:rPr>
          <w:rFonts w:ascii="Times New Roman" w:cs="Times New Roman" w:eastAsia="Times New Roman" w:hAnsi="Times New Roman"/>
          <w:sz w:val="18"/>
          <w:szCs w:val="18"/>
          <w:color w:val="auto"/>
        </w:rPr>
        <w:t>” means the underwriting agreement, dated as of August 7, 2024, between the Company and Aegis Capital Corp., as amended, modified or supplemented from time to time in accordance with its terms.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277495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40" w:name="page41"/>
    <w:bookmarkEnd w:id="40"/>
    <w:p>
      <w:pPr>
        <w:ind w:left="652"/>
        <w:spacing w:after="0" w:line="26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Registration Statement.</w:t>
      </w:r>
    </w:p>
    <w:p>
      <w:pPr>
        <w:spacing w:after="0" w:line="200" w:lineRule="exact"/>
        <w:rPr>
          <w:sz w:val="20"/>
          <w:szCs w:val="20"/>
          <w:color w:val="auto"/>
        </w:rPr>
      </w:pPr>
    </w:p>
    <w:p>
      <w:pPr>
        <w:spacing w:after="0" w:line="221" w:lineRule="exact"/>
        <w:rPr>
          <w:sz w:val="20"/>
          <w:szCs w:val="20"/>
          <w:color w:val="auto"/>
        </w:rPr>
      </w:pPr>
    </w:p>
    <w:p>
      <w:pPr>
        <w:ind w:left="652" w:hanging="652"/>
        <w:spacing w:after="0"/>
        <w:tabs>
          <w:tab w:leader="none" w:pos="6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Exhibit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in Section 2.4.1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jc w:val="both"/>
        <w:ind w:left="652"/>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xml:space="preserve">.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65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58" w:lineRule="exact"/>
        <w:rPr>
          <w:rFonts w:ascii="Times New Roman" w:cs="Times New Roman" w:eastAsia="Times New Roman" w:hAnsi="Times New Roman"/>
          <w:sz w:val="18"/>
          <w:szCs w:val="18"/>
          <w:color w:val="auto"/>
        </w:rPr>
      </w:pPr>
    </w:p>
    <w:p>
      <w:pPr>
        <w:jc w:val="right"/>
        <w:ind w:left="1952" w:hanging="656"/>
        <w:spacing w:after="0" w:line="269" w:lineRule="auto"/>
        <w:tabs>
          <w:tab w:leader="none" w:pos="159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2.1 hereof on a day that is not a Trading Day or (2) both executed and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952" w:hanging="8"/>
        <w:spacing w:after="0" w:line="252" w:lineRule="auto"/>
        <w:tabs>
          <w:tab w:leader="none" w:pos="221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2.1 hereof or (iii) the VWAP on the date of the applicable Notice of Exercise if the date of such Notice of Exercise is a Trading Day and such Notice of Exercise is both executed and delivered pursuant to Section 2.1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1572" w:hanging="276"/>
        <w:spacing w:after="0"/>
        <w:tabs>
          <w:tab w:leader="none" w:pos="15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41" w:name="page42"/>
    <w:bookmarkEnd w:id="41"/>
    <w:p>
      <w:pPr>
        <w:ind w:left="1304" w:right="20" w:hanging="656"/>
        <w:spacing w:after="0" w:line="282" w:lineRule="auto"/>
        <w:tabs>
          <w:tab w:leader="none" w:pos="9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 Shares being issued may be tacked on to the holding period of this Warrant.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the Company’s counsel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2.3.</w:t>
      </w:r>
    </w:p>
    <w:p>
      <w:pPr>
        <w:spacing w:after="0" w:line="188" w:lineRule="exact"/>
        <w:rPr>
          <w:sz w:val="20"/>
          <w:szCs w:val="20"/>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if the Company is then a participant in such system and either</w:t>
      </w:r>
    </w:p>
    <w:p>
      <w:pPr>
        <w:jc w:val="both"/>
        <w:ind w:left="4" w:hanging="4"/>
        <w:spacing w:after="0" w:line="250"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Warrants), and otherwise by physical delivery of a certificate,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b w:val="1"/>
          <w:bCs w:val="1"/>
          <w:u w:val="single" w:color="auto"/>
          <w:color w:val="auto"/>
        </w:rPr>
        <w:t>Warrant Share Delivery Date</w:t>
      </w:r>
      <w:r>
        <w:rPr>
          <w:rFonts w:ascii="Times New Roman" w:cs="Times New Roman" w:eastAsia="Times New Roman" w:hAnsi="Times New Roman"/>
          <w:sz w:val="18"/>
          <w:szCs w:val="18"/>
          <w:color w:val="auto"/>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289560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42" w:name="page43"/>
    <w:bookmarkEnd w:id="4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2.4.1 by the Warrant Share Delivery Date, then the Holder will have the right to rescind such exercise.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2.4.1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b w:val="1"/>
          <w:bCs w:val="1"/>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2.4.6</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b w:val="1"/>
          <w:bCs w:val="1"/>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258445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2.5,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2.5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2.5,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outstanding immediately after giving effect to the issuance of shares of Common Stock issuable upon exercise of this Warrant. The Holder, upon notice to the Company, may increase or decrease the Beneficial Ownership Limitation provisions of this Section 2.5,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2.5 shall</w:t>
      </w:r>
    </w:p>
    <w:p>
      <w:pPr>
        <w:spacing w:after="0" w:line="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2.5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284480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44" w:name="page45"/>
    <w:bookmarkEnd w:id="44"/>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3.2.[Reserved.]</w:t>
      </w:r>
    </w:p>
    <w:p>
      <w:pPr>
        <w:spacing w:after="0" w:line="225" w:lineRule="exact"/>
        <w:rPr>
          <w:rFonts w:ascii="Times New Roman" w:cs="Times New Roman" w:eastAsia="Times New Roman" w:hAnsi="Times New Roman"/>
          <w:sz w:val="18"/>
          <w:szCs w:val="18"/>
          <w:color w:val="auto"/>
        </w:rPr>
      </w:pPr>
    </w:p>
    <w:p>
      <w:pPr>
        <w:jc w:val="both"/>
        <w:ind w:left="65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65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issuable upon such exercise immediately prior to the occurrence of such Fundamental Transaction, at the option of the Holder (without regard to any limitation in Section 2.5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2.5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stock/shares of the Successor Entity (which Entity may be the Company following such Fundamental Transaction) in such Fundamental Transaction. “</w:t>
      </w:r>
      <w:r>
        <w:rPr>
          <w:rFonts w:ascii="Times New Roman" w:cs="Times New Roman" w:eastAsia="Times New Roman" w:hAnsi="Times New Roman"/>
          <w:sz w:val="18"/>
          <w:szCs w:val="18"/>
          <w:b w:val="1"/>
          <w:bCs w:val="1"/>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b w:val="1"/>
          <w:bCs w:val="1"/>
          <w:u w:val="single" w:color="auto"/>
          <w:color w:val="auto"/>
        </w:rPr>
        <w:t>Bloomberg</w:t>
      </w:r>
      <w:r>
        <w:rPr>
          <w:rFonts w:ascii="Times New Roman" w:cs="Times New Roman" w:eastAsia="Times New Roman" w:hAnsi="Times New Roman"/>
          <w:sz w:val="18"/>
          <w:szCs w:val="18"/>
          <w:color w:val="auto"/>
        </w:rPr>
        <w:t>”)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100% and (2) the 100 day volatility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after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3.5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prior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3.5 regardless of (i) whether the Company has sufficient authorized shares of Common Stock for the issuance of Warrant Shares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314325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739" w:gutter="0" w:footer="0" w:header="0"/>
        </w:sectPr>
      </w:pPr>
    </w:p>
    <w:bookmarkStart w:id="46" w:name="page47"/>
    <w:bookmarkEnd w:id="46"/>
    <w:p>
      <w:pPr>
        <w:jc w:val="both"/>
        <w:ind w:left="652"/>
        <w:spacing w:after="0" w:line="26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1"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firstLine="648"/>
        <w:spacing w:after="0" w:line="268"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b w:val="1"/>
          <w:bCs w:val="1"/>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1" w:lineRule="exact"/>
        <w:rPr>
          <w:sz w:val="20"/>
          <w:szCs w:val="20"/>
          <w:color w:val="auto"/>
        </w:rPr>
      </w:pPr>
    </w:p>
    <w:p>
      <w:pPr>
        <w:jc w:val="both"/>
        <w:ind w:left="652" w:firstLine="648"/>
        <w:spacing w:after="0" w:line="269" w:lineRule="auto"/>
        <w:rPr>
          <w:sz w:val="20"/>
          <w:szCs w:val="20"/>
          <w:color w:val="auto"/>
        </w:rPr>
      </w:pPr>
      <w:r>
        <w:rPr>
          <w:rFonts w:ascii="Times New Roman" w:cs="Times New Roman" w:eastAsia="Times New Roman" w:hAnsi="Times New Roman"/>
          <w:sz w:val="17"/>
          <w:szCs w:val="17"/>
          <w:color w:val="auto"/>
        </w:rPr>
        <w:t xml:space="preserve">3.7.2. </w:t>
      </w:r>
      <w:r>
        <w:rPr>
          <w:rFonts w:ascii="Times New Roman" w:cs="Times New Roman" w:eastAsia="Times New Roman" w:hAnsi="Times New Roman"/>
          <w:sz w:val="17"/>
          <w:szCs w:val="17"/>
          <w:b w:val="1"/>
          <w:bCs w:val="1"/>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w:t>
      </w:r>
    </w:p>
    <w:p>
      <w:pPr>
        <w:spacing w:after="0" w:line="4" w:lineRule="exact"/>
        <w:rPr>
          <w:sz w:val="20"/>
          <w:szCs w:val="20"/>
          <w:color w:val="auto"/>
        </w:rPr>
      </w:pPr>
    </w:p>
    <w:p>
      <w:pPr>
        <w:jc w:val="both"/>
        <w:ind w:left="652" w:hanging="4"/>
        <w:spacing w:after="0" w:line="251" w:lineRule="auto"/>
        <w:tabs>
          <w:tab w:leader="none" w:pos="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xml:space="preserve">.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Exhibit </w:t>
      </w:r>
      <w:r>
        <w:rPr>
          <w:rFonts w:ascii="Times New Roman" w:cs="Times New Roman" w:eastAsia="Times New Roman" w:hAnsi="Times New Roman"/>
          <w:sz w:val="18"/>
          <w:szCs w:val="18"/>
          <w:u w:val="single" w:color="auto"/>
          <w:color w:val="auto"/>
        </w:rPr>
        <w:t>2.4.6</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47" w:name="page48"/>
    <w:bookmarkEnd w:id="47"/>
    <w:p>
      <w:pPr>
        <w:jc w:val="both"/>
        <w:ind w:left="652"/>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2"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6" w:lineRule="exact"/>
        <w:rPr>
          <w:sz w:val="20"/>
          <w:szCs w:val="20"/>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2.4.1, except as expressly set forth in Section 3. Without limiting any rights of a Holder to receive Warrant Shares on a “cashless exercise” pursuant to Section 2.3 or to receive cash payments pursuant to Section 2.4.1 and Section 2.4.4 herein, in no event shall the Company be required to net cash settle an exercise of this Warrant.</w:t>
      </w:r>
    </w:p>
    <w:p>
      <w:pPr>
        <w:spacing w:after="0" w:line="399" w:lineRule="exact"/>
        <w:rPr>
          <w:rFonts w:ascii="Times New Roman" w:cs="Times New Roman" w:eastAsia="Times New Roman" w:hAnsi="Times New Roman"/>
          <w:sz w:val="18"/>
          <w:szCs w:val="18"/>
          <w:color w:val="auto"/>
        </w:rPr>
      </w:pPr>
    </w:p>
    <w:p>
      <w:pPr>
        <w:jc w:val="both"/>
        <w:ind w:left="652"/>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9"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5"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Authorized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52"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u w:val="single" w:color="auto"/>
          <w:color w:val="auto"/>
        </w:rPr>
        <w:t>Reservation of Authorized and Unissued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b w:val="1"/>
          <w:bCs w:val="1"/>
          <w:u w:val="single" w:color="auto"/>
          <w:color w:val="auto"/>
        </w:rPr>
        <w:t>Authorizations, Exemptions and Consents</w:t>
      </w:r>
      <w:r>
        <w:rPr>
          <w:rFonts w:ascii="Times New Roman" w:cs="Times New Roman" w:eastAsia="Times New Roman" w:hAnsi="Times New Roman"/>
          <w:sz w:val="18"/>
          <w:szCs w:val="18"/>
          <w:color w:val="auto"/>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foregoing, nothing in this paragraph shall limit or restrict the federal district court in which a Holder may bring a claim under the federal securities laws.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276860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2025 SW Deerhound Ave., Redmond, OR 97756, Attn: Brian Schaffner, Chief Executive Officer, email address: brian.schaffner@expion360.com,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on the other hand.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39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[XPON Investor Pre-Funded Registered Warrant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301625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i w:val="1"/>
          <w:iCs w:val="1"/>
          <w:color w:val="auto"/>
        </w:rPr>
        <w:t>[XPON Investor Pre-Funded Registered Warrant Signature Page]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Pre-Funded Registered Warrant to be executed by its officer thereunto duly authorized as of the date first above indicated.</w:t>
      </w: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EXPION360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Brian Schaffner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EXPION360 INC.</w:t>
      </w:r>
    </w:p>
    <w:p>
      <w:pPr>
        <w:spacing w:after="0" w:line="225" w:lineRule="exact"/>
        <w:rPr>
          <w:sz w:val="20"/>
          <w:szCs w:val="20"/>
          <w:color w:val="auto"/>
        </w:rPr>
      </w:pPr>
    </w:p>
    <w:p>
      <w:pPr>
        <w:ind w:right="20" w:firstLine="1304"/>
        <w:spacing w:after="0" w:line="282" w:lineRule="auto"/>
        <w:tabs>
          <w:tab w:leader="none" w:pos="2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w:t>
      </w:r>
    </w:p>
    <w:p>
      <w:pPr>
        <w:spacing w:after="0" w:line="225" w:lineRule="exact"/>
        <w:rPr>
          <w:sz w:val="20"/>
          <w:szCs w:val="20"/>
          <w:color w:val="auto"/>
        </w:rPr>
      </w:pPr>
    </w:p>
    <w:p>
      <w:pPr>
        <w:jc w:val="both"/>
        <w:ind w:left="2600"/>
        <w:spacing w:after="0" w:line="266" w:lineRule="auto"/>
        <w:tabs>
          <w:tab w:leader="none" w:pos="2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2.3, to exercise this Warrant with respect to the maximum number of Warrant Shares purchasable pursuant to the cashless exercise procedure set forth in subsection 2.3.</w:t>
      </w:r>
    </w:p>
    <w:p>
      <w:pPr>
        <w:spacing w:after="0" w:line="17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right"/>
        <w:ind w:right="3439"/>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18415</wp:posOffset>
            </wp:positionV>
            <wp:extent cx="3420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WARRANT TO PURCHASE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07" w:lineRule="exact"/>
        <w:rPr>
          <w:sz w:val="20"/>
          <w:szCs w:val="20"/>
          <w:color w:val="auto"/>
        </w:rPr>
      </w:pPr>
    </w:p>
    <w:p>
      <w:pPr>
        <w:spacing w:after="0"/>
        <w:tabs>
          <w:tab w:leader="none" w:pos="9020" w:val="left"/>
        </w:tabs>
        <w:rPr>
          <w:sz w:val="20"/>
          <w:szCs w:val="20"/>
          <w:color w:val="auto"/>
        </w:rPr>
      </w:pPr>
      <w:r>
        <w:rPr>
          <w:rFonts w:ascii="Times New Roman" w:cs="Times New Roman" w:eastAsia="Times New Roman" w:hAnsi="Times New Roman"/>
          <w:sz w:val="18"/>
          <w:szCs w:val="18"/>
          <w:color w:val="auto"/>
        </w:rPr>
        <w:t>Warrant Shares: [●]</w:t>
      </w:r>
      <w:r>
        <w:rPr>
          <w:sz w:val="20"/>
          <w:szCs w:val="20"/>
          <w:color w:val="auto"/>
        </w:rPr>
        <w:tab/>
      </w:r>
      <w:r>
        <w:rPr>
          <w:rFonts w:ascii="Times New Roman" w:cs="Times New Roman" w:eastAsia="Times New Roman" w:hAnsi="Times New Roman"/>
          <w:sz w:val="17"/>
          <w:szCs w:val="17"/>
          <w:color w:val="auto"/>
        </w:rPr>
        <w:t>Issuance Date: August 8,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SERIES A WARRANT TO PURCHASE COMMON STOCK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certifies that, for value received, [●] or its assigns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Initial Exercise Date and on or prior to 5:00 p.m. (New York City time) on the five-year anniversary of the Initial Exercise Date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but not thereafter, to subscribe for and purchase from Expion360 Inc., a Nevada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up to [ ● ] shares (as subject to adjustment hereunder,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The purchase price of one (1) share of Common Stock under this Warrant shall be equal to the Exercise Price, as defined in Section 2.2.</w:t>
      </w:r>
    </w:p>
    <w:p>
      <w:pPr>
        <w:spacing w:after="0" w:line="182" w:lineRule="exact"/>
        <w:rPr>
          <w:sz w:val="20"/>
          <w:szCs w:val="20"/>
          <w:color w:val="auto"/>
        </w:rPr>
      </w:pPr>
    </w:p>
    <w:p>
      <w:pPr>
        <w:ind w:left="660" w:right="20" w:hanging="652"/>
        <w:spacing w:after="0" w:line="28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Warrant or in the Underwriting Agreement dated August 7, 2024,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have the meanings indicated in this Section 1:</w:t>
      </w:r>
    </w:p>
    <w:p>
      <w:pPr>
        <w:spacing w:after="0" w:line="154" w:lineRule="exact"/>
        <w:rPr>
          <w:rFonts w:ascii="Times New Roman" w:cs="Times New Roman" w:eastAsia="Times New Roman" w:hAnsi="Times New Roman"/>
          <w:sz w:val="18"/>
          <w:szCs w:val="18"/>
          <w:color w:val="auto"/>
        </w:rPr>
      </w:pPr>
    </w:p>
    <w:p>
      <w:pPr>
        <w:ind w:left="66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4"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w:t>
      </w:r>
      <w:r>
        <w:rPr>
          <w:rFonts w:ascii="Times New Roman" w:cs="Times New Roman" w:eastAsia="Times New Roman" w:hAnsi="Times New Roman"/>
          <w:sz w:val="18"/>
          <w:szCs w:val="18"/>
          <w:b w:val="1"/>
          <w:bCs w:val="1"/>
          <w:u w:val="single" w:color="auto"/>
          <w:color w:val="auto"/>
        </w:rPr>
        <w:t>Bloomberg</w:t>
      </w:r>
      <w:r>
        <w:rPr>
          <w:rFonts w:ascii="Times New Roman" w:cs="Times New Roman" w:eastAsia="Times New Roman" w:hAnsi="Times New Roman"/>
          <w:sz w:val="18"/>
          <w:szCs w:val="18"/>
          <w:color w:val="auto"/>
        </w:rPr>
        <w:t>”)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tabs>
          <w:tab w:leader="none" w:pos="7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of the Company, $0.001 par value per share, and any other class of securities into which such securities may hereafter be reclassified or changed.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Effective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date of the Underwriting Agreement.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Exercise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date that some or all of this Warrant is exercised pursuant to the provisions of this Warrant.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Floor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(i) prior to Stockholder Approval, a price equal to fifty percent (50%) of the Nasdaq Minimum Price prior to pricing on the Pricing Date, as defined in Nasdaq Listing Rule 5635(d)(1)(A) (which price shall be appropriately adjusted for any stock dividend, stock split, stock combination, reclassification or similar transaction), or (ii) following Stockholder Approval, a price equal to twenty percent (20%) of the Nasdaq Minimum Price prior to pricing on the Pricing Date, as defined in Nasdaq Listing Rule 5635(d)(1)(A) (which price shall be appropriately adjusted for any stock dividend, stock split, stock combination, reclassification or similar transaction).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Exercise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first Trading Day following the Company’s notice to the Holder of Stockholder Approval, which notice shall be provided within two Trading Days of the Company’s receipt of Stockholder Approval.</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Issuance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date that this Warrant, among other securities, has been issued pursuant to the Underwriting Agreement.</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333-280996).</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Reset Date</w:t>
      </w:r>
      <w:r>
        <w:rPr>
          <w:rFonts w:ascii="Times New Roman" w:cs="Times New Roman" w:eastAsia="Times New Roman" w:hAnsi="Times New Roman"/>
          <w:sz w:val="17"/>
          <w:szCs w:val="17"/>
          <w:color w:val="auto"/>
        </w:rPr>
        <w:t>” means the eleventh (11th) Trading Day after Stockholder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Reset Period</w:t>
      </w:r>
      <w:r>
        <w:rPr>
          <w:rFonts w:ascii="Times New Roman" w:cs="Times New Roman" w:eastAsia="Times New Roman" w:hAnsi="Times New Roman"/>
          <w:sz w:val="18"/>
          <w:szCs w:val="18"/>
          <w:color w:val="auto"/>
        </w:rPr>
        <w:t>” means the period commencing on the first Trading Day after the date of Stockholder Approval and ending following the close of trading on the tenth (10th) Trading Day thereafter.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Reset Price</w:t>
      </w:r>
      <w:r>
        <w:rPr>
          <w:rFonts w:ascii="Times New Roman" w:cs="Times New Roman" w:eastAsia="Times New Roman" w:hAnsi="Times New Roman"/>
          <w:sz w:val="18"/>
          <w:szCs w:val="18"/>
          <w:color w:val="auto"/>
        </w:rPr>
        <w:t>” means the greater of (i) the lowest daily Weighted Average Price of the shares of Common Stock during the Reset Period and (ii) the Floor Price (as adjusted for stock splits, stock dividends, recapitalizations, reorganizations, reclassification, combinations, reverse stock splits or other similar events occurring after the Effective Date).</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Series B Warrant</w:t>
      </w:r>
      <w:r>
        <w:rPr>
          <w:rFonts w:ascii="Times New Roman" w:cs="Times New Roman" w:eastAsia="Times New Roman" w:hAnsi="Times New Roman"/>
          <w:sz w:val="17"/>
          <w:szCs w:val="17"/>
          <w:color w:val="auto"/>
        </w:rPr>
        <w:t>” means the Company’s Series B Warrants issued on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302895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Capital Market (or any successor entity) from the stockholders of the Company, or board of directors in lieu thereof, with respect to issuance of all of the Warrants and the Warrant Shares upon the exercise thereof, including without limitation: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1.21.1. to render inapplicable clause (i) of the definition of Floor Price for purposes of Section 3.2 hereof, thereby giving full effect to the adjustment in the exercise price and/or number of shares of Common Stock underlying the Warrants following any Dilutive Issuance (as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1.21.2. to consent to any adjustment to the exercise price or number of shares of Common Stock underlying the Warrants in the event of a Share Combination Event pursuant to Section 3.8.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1.21.3. to consent to the voluntary adjustment, from time to time, of the exercise price of any and all currently outstanding warrants pursuant to Section 3.9.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1.21.4. to approve an amendment to the Company’s Articles of Incorporation to increase the number of authorized shares of Common Stock as may be needed to permit the Company to reserve for issuance all of the Warrant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Issuance Date.</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means Pacific Stock Transfer Company, the current transfer agent of the Company, with a mailing address of 6725 Via Austi Pkwy, Suite 300, Las Vegas, Nevada 89119 and an email address of awalker@pacificstocktransfer.com, and any successor transfer agent of the Company.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u w:val="single" w:color="auto"/>
          <w:color w:val="auto"/>
        </w:rPr>
        <w:t>Underwriting Agreement</w:t>
      </w:r>
      <w:r>
        <w:rPr>
          <w:rFonts w:ascii="Times New Roman" w:cs="Times New Roman" w:eastAsia="Times New Roman" w:hAnsi="Times New Roman"/>
          <w:sz w:val="18"/>
          <w:szCs w:val="18"/>
          <w:color w:val="auto"/>
        </w:rPr>
        <w:t>” means the underwriting agreement, dated as of August 7, 2024, between the Company and Aegis Capital Corp., as amended, modified or supplemented from time to time in accordance with its terms.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Warrants</w:t>
      </w:r>
      <w:r>
        <w:rPr>
          <w:rFonts w:ascii="Times New Roman" w:cs="Times New Roman" w:eastAsia="Times New Roman" w:hAnsi="Times New Roman"/>
          <w:sz w:val="17"/>
          <w:szCs w:val="17"/>
          <w:color w:val="auto"/>
        </w:rPr>
        <w:t>” means this Warrant and the Series B Warrant to be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302895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57" w:name="page58"/>
    <w:bookmarkEnd w:id="57"/>
    <w:p>
      <w:pPr>
        <w:ind w:left="652" w:hanging="652"/>
        <w:spacing w:after="0"/>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Exhibit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in Section 2.4.1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 The exercise price per Warrant Share shall be $0.24, subject to adjustment hereunder (the “</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rFonts w:ascii="Times New Roman" w:cs="Times New Roman" w:eastAsia="Times New Roman" w:hAnsi="Times New Roman"/>
          <w:sz w:val="18"/>
          <w:szCs w:val="18"/>
          <w:color w:val="auto"/>
        </w:rPr>
      </w:pPr>
    </w:p>
    <w:p>
      <w:pPr>
        <w:jc w:val="right"/>
        <w:ind w:left="1952" w:hanging="656"/>
        <w:spacing w:after="0" w:line="269" w:lineRule="auto"/>
        <w:tabs>
          <w:tab w:leader="none" w:pos="15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2.1 hereof on a day that is not a Trading Day or (2) both executed and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952"/>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the Bid Price of the Common Stock on the principal Trading Market as reported by Bloomberg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2.1 hereof or (iii) the VWAP on the date of the applicable Notice of Exercise if the date of such Notice of Exercise is a Trading Day and such Notice of Exercise is both executed and delivered pursuant to Section 2.1 hereof after the close of “regular trading hours” on such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58" w:name="page59"/>
    <w:bookmarkEnd w:id="58"/>
    <w:p>
      <w:pPr>
        <w:ind w:left="644"/>
        <w:spacing w:after="0"/>
        <w:tabs>
          <w:tab w:leader="none" w:pos="1284"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of this Warrant, as adjusted hereunder; and</w:t>
      </w:r>
    </w:p>
    <w:p>
      <w:pPr>
        <w:spacing w:after="0" w:line="225" w:lineRule="exact"/>
        <w:rPr>
          <w:sz w:val="20"/>
          <w:szCs w:val="20"/>
          <w:color w:val="auto"/>
        </w:rPr>
      </w:pPr>
    </w:p>
    <w:p>
      <w:pPr>
        <w:ind w:left="1304" w:right="20" w:hanging="656"/>
        <w:spacing w:after="0" w:line="282" w:lineRule="auto"/>
        <w:tabs>
          <w:tab w:leader="none" w:pos="9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2.3.</w:t>
      </w:r>
    </w:p>
    <w:p>
      <w:pPr>
        <w:spacing w:after="0" w:line="176"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2.3.</w:t>
      </w:r>
    </w:p>
    <w:p>
      <w:pPr>
        <w:spacing w:after="0" w:line="158" w:lineRule="exact"/>
        <w:rPr>
          <w:sz w:val="20"/>
          <w:szCs w:val="20"/>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if the Company is then a participant in such system and either</w:t>
      </w:r>
    </w:p>
    <w:p>
      <w:pPr>
        <w:jc w:val="both"/>
        <w:ind w:left="4" w:hanging="4"/>
        <w:spacing w:after="0" w:line="265" w:lineRule="auto"/>
        <w:tabs>
          <w:tab w:leader="none" w:pos="3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Warrants),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b w:val="1"/>
          <w:bCs w:val="1"/>
          <w:u w:val="single" w:color="auto"/>
          <w:color w:val="auto"/>
        </w:rPr>
        <w:t>Warrant Share Delivery Date</w:t>
      </w:r>
      <w:r>
        <w:rPr>
          <w:rFonts w:ascii="Times New Roman" w:cs="Times New Roman" w:eastAsia="Times New Roman" w:hAnsi="Times New Roman"/>
          <w:sz w:val="17"/>
          <w:szCs w:val="17"/>
          <w:color w:val="auto"/>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w:t>
      </w:r>
    </w:p>
    <w:p>
      <w:pPr>
        <w:spacing w:after="0" w:line="1" w:lineRule="exact"/>
        <w:rPr>
          <w:rFonts w:ascii="Times New Roman" w:cs="Times New Roman" w:eastAsia="Times New Roman" w:hAnsi="Times New Roman"/>
          <w:sz w:val="17"/>
          <w:szCs w:val="17"/>
          <w:color w:val="auto"/>
        </w:rPr>
      </w:pPr>
    </w:p>
    <w:p>
      <w:pPr>
        <w:jc w:val="both"/>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7"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9" w:name="page60"/>
    <w:bookmarkEnd w:id="5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2.4.1 by the Warrant Share Delivery Date, then the Holder will have the right to rescind such exercise.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2.4.1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b w:val="1"/>
          <w:bCs w:val="1"/>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b w:val="1"/>
          <w:bCs w:val="1"/>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2.4.6</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276860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60" w:name="page61"/>
    <w:bookmarkEnd w:id="6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b w:val="1"/>
          <w:bCs w:val="1"/>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2.5,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2.5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2.5,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outstanding immediately after giving effect to the issuance of shares of Common Stock issuable upon exercise of this Warrant. The Holder, upon notice to the Company, may increase or decrease the Beneficial Ownership Limitation provisions of this Section 2.5,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2.5 shall</w:t>
      </w:r>
    </w:p>
    <w:p>
      <w:pPr>
        <w:spacing w:after="0" w:line="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2.5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284480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61" w:name="page62"/>
    <w:bookmarkEnd w:id="61"/>
    <w:p>
      <w:pPr>
        <w:ind w:left="652" w:hanging="652"/>
        <w:spacing w:after="0"/>
        <w:tabs>
          <w:tab w:leader="none" w:pos="6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18"/>
          <w:szCs w:val="18"/>
          <w:color w:val="auto"/>
        </w:rPr>
      </w:pPr>
    </w:p>
    <w:p>
      <w:pPr>
        <w:jc w:val="both"/>
        <w:ind w:left="65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Subsequent Equity Sales</w:t>
      </w:r>
      <w:r>
        <w:rPr>
          <w:rFonts w:ascii="Times New Roman" w:cs="Times New Roman" w:eastAsia="Times New Roman" w:hAnsi="Times New Roman"/>
          <w:sz w:val="18"/>
          <w:szCs w:val="18"/>
          <w:color w:val="auto"/>
        </w:rPr>
        <w:t>. If, at any time while this Warrant is outstanding (such period, the “</w:t>
      </w:r>
      <w:r>
        <w:rPr>
          <w:rFonts w:ascii="Times New Roman" w:cs="Times New Roman" w:eastAsia="Times New Roman" w:hAnsi="Times New Roman"/>
          <w:sz w:val="18"/>
          <w:szCs w:val="18"/>
          <w:b w:val="1"/>
          <w:bCs w:val="1"/>
          <w:u w:val="single" w:color="auto"/>
          <w:color w:val="auto"/>
        </w:rPr>
        <w:t>Adjustment Period</w:t>
      </w:r>
      <w:r>
        <w:rPr>
          <w:rFonts w:ascii="Times New Roman" w:cs="Times New Roman" w:eastAsia="Times New Roman" w:hAnsi="Times New Roman"/>
          <w:sz w:val="18"/>
          <w:szCs w:val="18"/>
          <w:color w:val="auto"/>
        </w:rPr>
        <w:t>”),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3.2, is deemed to have issued or sold, any shares of Common Stock or Common Stock Equivalents for a consideration per share (the “</w:t>
      </w:r>
      <w:r>
        <w:rPr>
          <w:rFonts w:ascii="Times New Roman" w:cs="Times New Roman" w:eastAsia="Times New Roman" w:hAnsi="Times New Roman"/>
          <w:sz w:val="18"/>
          <w:szCs w:val="18"/>
          <w:b w:val="1"/>
          <w:bCs w:val="1"/>
          <w:u w:val="single" w:color="auto"/>
          <w:color w:val="auto"/>
        </w:rPr>
        <w:t>New Issuance Price</w:t>
      </w:r>
      <w:r>
        <w:rPr>
          <w:rFonts w:ascii="Times New Roman" w:cs="Times New Roman" w:eastAsia="Times New Roman" w:hAnsi="Times New Roman"/>
          <w:sz w:val="18"/>
          <w:szCs w:val="18"/>
          <w:color w:val="auto"/>
        </w:rPr>
        <w:t>”) less than a price equal to the Exercise Price in effect immediately prior to such issue or sale or deemed issuance or sale (such Exercise Price then in effect is referred to as the “</w:t>
      </w:r>
      <w:r>
        <w:rPr>
          <w:rFonts w:ascii="Times New Roman" w:cs="Times New Roman" w:eastAsia="Times New Roman" w:hAnsi="Times New Roman"/>
          <w:sz w:val="18"/>
          <w:szCs w:val="18"/>
          <w:b w:val="1"/>
          <w:bCs w:val="1"/>
          <w:u w:val="single" w:color="auto"/>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u w:val="single" w:color="auto"/>
          <w:color w:val="auto"/>
        </w:rPr>
        <w:t>Dilutive Issuance</w:t>
      </w:r>
      <w:r>
        <w:rPr>
          <w:rFonts w:ascii="Times New Roman" w:cs="Times New Roman" w:eastAsia="Times New Roman" w:hAnsi="Times New Roman"/>
          <w:sz w:val="18"/>
          <w:szCs w:val="18"/>
          <w:color w:val="auto"/>
        </w:rPr>
        <w:t>”), then simultaneously with the consummation (or, if earlier, the announcement) of such Dilutive Issuance, the Exercise Price then in effect shall be reduced to an amount equal to the lower of (a) the New Issuance Price or (b) the lowest VWAP during the Five (5) consecutive Trading Days immediately following the closing (or announcement, as the case may be) of the Dilutive Issuance (such lower price, the “</w:t>
      </w:r>
      <w:r>
        <w:rPr>
          <w:rFonts w:ascii="Times New Roman" w:cs="Times New Roman" w:eastAsia="Times New Roman" w:hAnsi="Times New Roman"/>
          <w:sz w:val="18"/>
          <w:szCs w:val="18"/>
          <w:b w:val="1"/>
          <w:bCs w:val="1"/>
          <w:u w:val="single" w:color="auto"/>
          <w:color w:val="auto"/>
        </w:rPr>
        <w:t>Base Share Price</w:t>
      </w:r>
      <w:r>
        <w:rPr>
          <w:rFonts w:ascii="Times New Roman" w:cs="Times New Roman" w:eastAsia="Times New Roman" w:hAnsi="Times New Roman"/>
          <w:sz w:val="18"/>
          <w:szCs w:val="18"/>
          <w:color w:val="auto"/>
        </w:rPr>
        <w:t>”) and the number of Warrant Shares issuable hereunder shall be proportionately increased such that the aggregate Exercise Price of this Warrant on the Issuance Date for the Warrant Shares then outstanding shall remain unchanged following such event; provided that the Base Share Price shall not be less than the Floor Price (subject to adjustment for reverse and forward stock splits, recapitalizations and similar transactions following the date of the Underwriting Agreement). Notwithstanding the foregoing, if one or more Dilutive Issuances occurred prior to the Stockholder Approval being obtained and the reduction of the Exercise Price was limited by clause (i) of the definition of Floor Price, once the Stockholder Approval is obtained, the Exercise Price will automatically be reduced to equal the greater of (x) the lowest Base Share Price with respect to any Dilutive Issuance that occurred prior to the Stockholder Approval being obtained, and (y) the price determined by reference to clause (ii) of the definition of Floor Price. If the Company enters into a Variable Rate Transaction, the Company shall be deemed to have issued shares of Common Stock or Common Stock Equivalents at the lowest possible price, conversion price or exercise price at which such securities may be issued, converted or exercised. For the avoidance of doubt, in the event the Exercise Price has been adjusted pursuant to this Section 3.2 and the Dilutive Issuance that triggered such adjustment does not occur, is not consummated, is unwound or is cancelled after the facts for any reason whatsoever, in no event shall the Exercise Price be readjusted to the Exercise Price that would have been in effect if such Dilutive Issuance had not occurred or been consummated. For all purposes of the foregoing, the following shall be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u w:val="single" w:color="auto"/>
          <w:color w:val="auto"/>
        </w:rPr>
        <w:t>Issuance of Options</w:t>
      </w:r>
      <w:r>
        <w:rPr>
          <w:rFonts w:ascii="Times New Roman" w:cs="Times New Roman" w:eastAsia="Times New Roman" w:hAnsi="Times New Roman"/>
          <w:sz w:val="18"/>
          <w:szCs w:val="18"/>
          <w:color w:val="auto"/>
        </w:rPr>
        <w:t>. If, during the Adjustment Period, the Company in any manner grants or sells any Options and the lowest price per share for which one share of Common Stock is issuable upon the exercise of any such Option or upon conversion, exercise or exchange of any convertible securities (“</w:t>
      </w:r>
      <w:r>
        <w:rPr>
          <w:rFonts w:ascii="Times New Roman" w:cs="Times New Roman" w:eastAsia="Times New Roman" w:hAnsi="Times New Roman"/>
          <w:sz w:val="18"/>
          <w:szCs w:val="18"/>
          <w:b w:val="1"/>
          <w:bCs w:val="1"/>
          <w:u w:val="single" w:color="auto"/>
          <w:color w:val="auto"/>
        </w:rPr>
        <w:t>Convertible Securities</w:t>
      </w:r>
      <w:r>
        <w:rPr>
          <w:rFonts w:ascii="Times New Roman" w:cs="Times New Roman" w:eastAsia="Times New Roman" w:hAnsi="Times New Roman"/>
          <w:sz w:val="18"/>
          <w:szCs w:val="18"/>
          <w:color w:val="auto"/>
        </w:rPr>
        <w:t>”) issuable upon exercise of any such Option (such shares of Common Stock issuable upon such exercise of any Option or upon conversion, exercise or exchange of any Convertible Securities, the “</w:t>
      </w:r>
      <w:r>
        <w:rPr>
          <w:rFonts w:ascii="Times New Roman" w:cs="Times New Roman" w:eastAsia="Times New Roman" w:hAnsi="Times New Roman"/>
          <w:sz w:val="18"/>
          <w:szCs w:val="18"/>
          <w:b w:val="1"/>
          <w:bCs w:val="1"/>
          <w:u w:val="single" w:color="auto"/>
          <w:color w:val="auto"/>
        </w:rPr>
        <w:t>Convertible Securities Shares</w:t>
      </w:r>
      <w:r>
        <w:rPr>
          <w:rFonts w:ascii="Times New Roman" w:cs="Times New Roman" w:eastAsia="Times New Roman" w:hAnsi="Times New Roman"/>
          <w:sz w:val="18"/>
          <w:szCs w:val="18"/>
          <w:color w:val="auto"/>
        </w:rPr>
        <w:t>”) is less than the Applicable Price, then such shares of Common Stock shall be deemed to be outstanding and to have been issued and sold by the Company at the time of the granting or sale of such Option for such price per share. For purposes of this Section 3.2.1, the “lowest price per share for which one share of Common Stock is issuable upon the exercise of any such Option or upon conversion, exercise or exchange of any Convertible Securities issuable upon exercise of any such Option” shall be equal to (A) the sum of (1) the lowest amount of consideration (if any) received or receivable by the Company with respect to any one Convertible Securities Share upon the granting or sale of such Option, upon exercise of such Option and upon conversion, exercise or exchange of any Convertible Security issuable upon exercise of such Option and (2) the lowest exercise price set forth in such Option for which one Convertible Securities Share is issuable upon the exercise of any such Option or upon conversion, exercise or exchange of any Convertible Securities issuable upon exercise of any such Option, minus (B) the sum of all amounts paid or payable to the holder of such Option (or any other Person), with respect to any one Convertible Securities Share,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with respect to any one Convertible Securities Share. Except as contemplated below, no further adjustment of the Exercise Price shall be made upon the actual issuance of such Convertible Securities Share or of such Convertible Securities upon the exercise of such Options or upon the actual issuance of such Convertible Securities Share upon conversion, exercise or exchange of such Convertible Securities.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u w:val="single" w:color="auto"/>
          <w:color w:val="auto"/>
        </w:rPr>
        <w:t>Issuance of Convertible Securities</w:t>
      </w:r>
      <w:r>
        <w:rPr>
          <w:rFonts w:ascii="Times New Roman" w:cs="Times New Roman" w:eastAsia="Times New Roman" w:hAnsi="Times New Roman"/>
          <w:sz w:val="18"/>
          <w:szCs w:val="18"/>
          <w:color w:val="auto"/>
        </w:rPr>
        <w:t>. If, during the Adjustment Period, the Company in any manner issues or sells any Convertible Securities and the lowest price per share for which one Convertible Securities Share is issuable upon the conversion, exercise or exchange thereof is less than the Applicable Price, then such Convertible Securities Share shall be deemed to be outstanding and to have been issued and sold by the Company at the time of the issuance or sale of such Convertible Securities for such price per share. For the purposes of this Section 3.2.2, the “lowest price per share for which one Convertible Securities Share is issuable upon the conversion, exercise or exchange thereof” shall be equal to (A) the sum of (1) the lowest amount of consideration (if any) received or receivable by the Company with respect to one Convertible Securities Share upon the issuance or sale of the Convertible Security and upon conversion, exercise or exchange of such Convertible Security and (2) the lowest conversion price set forth in such Convertible Security for which one Convertible Securities Share is issuable upon conversion, exercise or exchange thereof, minus (B) the sum of all amounts paid or payable to the holder of such Convertible Security (or any other Person), with respect to any one Convertible Securities Share, upon the issuance or sale of such Convertible Security plus the value of any other consideration received or receivable by, or benefit conferred on, the holder of such Convertible Security (or any other Person), with respect to any one Convertible Securities Share. Except as contemplated below, no further adjustment of the Exercise Price shall be made upon the actual issuance of such Convertible Securities Share upon conversion, exercise or exchange of such Convertible Securities, and if any such issue or sale of such Convertible Securities is made upon exercise of any Options for which adjustment of the Exercise Price has been or is to be made pursuant to other provisions of this Section 3.2, except as contemplated below, no further adjustment of the Exercise Price shall be made by reason of such issue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283845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63" w:name="page64"/>
    <w:bookmarkEnd w:id="63"/>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u w:val="single" w:color="auto"/>
          <w:color w:val="auto"/>
        </w:rPr>
        <w:t>Change in Option Price or Rate of Conversion</w:t>
      </w:r>
      <w:r>
        <w:rPr>
          <w:rFonts w:ascii="Times New Roman" w:cs="Times New Roman" w:eastAsia="Times New Roman" w:hAnsi="Times New Roman"/>
          <w:sz w:val="18"/>
          <w:szCs w:val="18"/>
          <w:color w:val="auto"/>
        </w:rPr>
        <w:t>. If, during the Adjustment Period,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3.1),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3.2.3, if the terms of any Option or Convertible Security that was outstanding as of the date of issuance of this Warrant are increased or decreased in the manner described in the immediately preceding sentence, then such Option or Convertible Security and the Convertible Securities Share deemed issuable upon exercise, conversion or exchange thereof shall be deemed to have been issued as of the date of such increase or decrease. No adjustment pursuant to this Section 3.2 shall be made if such adjustment would result in an increase of the Exercise Price then in effect.</w:t>
      </w:r>
    </w:p>
    <w:p>
      <w:pPr>
        <w:spacing w:after="0" w:line="182"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u w:val="single" w:color="auto"/>
          <w:color w:val="auto"/>
        </w:rPr>
        <w:t>Calculation of Consideration Received</w:t>
      </w:r>
      <w:r>
        <w:rPr>
          <w:rFonts w:ascii="Times New Roman" w:cs="Times New Roman" w:eastAsia="Times New Roman" w:hAnsi="Times New Roman"/>
          <w:sz w:val="18"/>
          <w:szCs w:val="18"/>
          <w:color w:val="auto"/>
        </w:rPr>
        <w:t>. If any Option or Convertible Security is issued in connection with the issuance or sale or deemed issuance or sale of any other securities of the Company (the “</w:t>
      </w:r>
      <w:r>
        <w:rPr>
          <w:rFonts w:ascii="Times New Roman" w:cs="Times New Roman" w:eastAsia="Times New Roman" w:hAnsi="Times New Roman"/>
          <w:sz w:val="18"/>
          <w:szCs w:val="18"/>
          <w:b w:val="1"/>
          <w:bCs w:val="1"/>
          <w:u w:val="single" w:color="auto"/>
          <w:color w:val="auto"/>
        </w:rPr>
        <w:t>Primary Security</w:t>
      </w:r>
      <w:r>
        <w:rPr>
          <w:rFonts w:ascii="Times New Roman" w:cs="Times New Roman" w:eastAsia="Times New Roman" w:hAnsi="Times New Roman"/>
          <w:sz w:val="18"/>
          <w:szCs w:val="18"/>
          <w:color w:val="auto"/>
        </w:rPr>
        <w:t>”, and such Option or Convertible Security, the “</w:t>
      </w:r>
      <w:r>
        <w:rPr>
          <w:rFonts w:ascii="Times New Roman" w:cs="Times New Roman" w:eastAsia="Times New Roman" w:hAnsi="Times New Roman"/>
          <w:sz w:val="18"/>
          <w:szCs w:val="18"/>
          <w:b w:val="1"/>
          <w:bCs w:val="1"/>
          <w:u w:val="single" w:color="auto"/>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b w:val="1"/>
          <w:bCs w:val="1"/>
          <w:u w:val="single" w:color="auto"/>
          <w:color w:val="auto"/>
        </w:rPr>
        <w:t>Unit</w:t>
      </w:r>
      <w:r>
        <w:rPr>
          <w:rFonts w:ascii="Times New Roman" w:cs="Times New Roman" w:eastAsia="Times New Roman" w:hAnsi="Times New Roman"/>
          <w:sz w:val="18"/>
          <w:szCs w:val="18"/>
          <w:color w:val="auto"/>
        </w:rPr>
        <w:t>”), together comprising one integrated transaction, the aggregate consideration per share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3.2.1 or 3.2.2 above and (z) the Base Share Price for such Dilutive Issuance (for the avoidance of doubt, if such public announcement, if applicable, is released prior to the opening of the Principal Market on a Trading Day, such Trading Day shall be the first Trading Day in such Five (5) Trading Day period and if this Warrant is exercised on any given Exercise Date during any such period, the Holder may elect to earlier end such period (including, solely with respect to such portion of this Warrant exercised on such applicable Exercise Date)). If any shares of Common Stock, Options or Convertible Securities are issued or sold or deemed to have been issued or sold for cash, the consideration received therefor will be deemed to be the net amount of cash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market value of such portion of the net assets and business of the non-surviving entity as is attributable to such shares of Common Stock, Options or Convertible Securities (as the case may be). The fair market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u w:val="single" w:color="auto"/>
          <w:color w:val="auto"/>
        </w:rPr>
        <w:t>Valuation Event</w:t>
      </w:r>
      <w:r>
        <w:rPr>
          <w:rFonts w:ascii="Times New Roman" w:cs="Times New Roman" w:eastAsia="Times New Roman" w:hAnsi="Times New Roman"/>
          <w:sz w:val="18"/>
          <w:szCs w:val="18"/>
          <w:color w:val="auto"/>
        </w:rPr>
        <w:t>”), the fair market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85" w:lineRule="exact"/>
        <w:rPr>
          <w:sz w:val="20"/>
          <w:szCs w:val="20"/>
          <w:color w:val="auto"/>
        </w:rPr>
      </w:pPr>
    </w:p>
    <w:p>
      <w:pPr>
        <w:ind w:left="644"/>
        <w:spacing w:after="0"/>
        <w:tabs>
          <w:tab w:leader="none" w:pos="1364"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If, during the Adjustment Period, the Company takes a record of stockholders for the purpose of entitling them</w:t>
      </w:r>
    </w:p>
    <w:p>
      <w:pPr>
        <w:spacing w:after="0" w:line="31" w:lineRule="exact"/>
        <w:rPr>
          <w:sz w:val="20"/>
          <w:szCs w:val="20"/>
          <w:color w:val="auto"/>
        </w:rPr>
      </w:pPr>
    </w:p>
    <w:p>
      <w:pPr>
        <w:jc w:val="both"/>
        <w:ind w:left="4" w:hanging="4"/>
        <w:spacing w:after="0" w:line="253" w:lineRule="auto"/>
        <w:tabs>
          <w:tab w:leader="none" w:pos="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shares of Common Stock deemed to have been issued or sold upon the declaration of such dividend or the making of such other distribution or the date of the granting of such right of subscription or purchase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277495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u w:val="single" w:color="auto"/>
          <w:color w:val="auto"/>
        </w:rPr>
        <w:t>Subsequent Rights Offerings</w:t>
      </w:r>
      <w:r>
        <w:rPr>
          <w:rFonts w:ascii="Times New Roman" w:cs="Times New Roman" w:eastAsia="Times New Roman" w:hAnsi="Times New Roman"/>
          <w:sz w:val="18"/>
          <w:szCs w:val="18"/>
          <w:color w:val="auto"/>
        </w:rPr>
        <w:t>. In addition to any other adjustments pursuant to Section 3,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276225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65" w:name="page66"/>
    <w:bookmarkEnd w:id="65"/>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issuable upon such exercise immediately prior to the occurrence of such Fundamental Transaction, at the option of the Holder (without regard to any limitation in Section 2.5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2.5 on the exercise of this Warrant). For purposes of any such exercise, the determination of the Exercise Price shall be appropriately adjusted to reflect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stock/shares of the Successor Entity (which Entity may be the Company following such Fundamental Transaction) in such Fundamental Transaction. “</w:t>
      </w:r>
      <w:r>
        <w:rPr>
          <w:rFonts w:ascii="Times New Roman" w:cs="Times New Roman" w:eastAsia="Times New Roman" w:hAnsi="Times New Roman"/>
          <w:sz w:val="18"/>
          <w:szCs w:val="18"/>
          <w:b w:val="1"/>
          <w:bCs w:val="1"/>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100% and (2) the 100 day volatility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3‎.5,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after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3.5 pursuant to written agreements in form and substance reasonably satisfactory to the Holder and approved by the Holder (without unreasonable delay) prior to the closing of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prior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3.5 regardless of (i) whether the Company has sufficient authorized shares of Common Stock for the issuance of Warrant Shares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314325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847" w:gutter="0" w:footer="0" w:header="0"/>
        </w:sectPr>
      </w:pPr>
    </w:p>
    <w:bookmarkStart w:id="66" w:name="page67"/>
    <w:bookmarkEnd w:id="66"/>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1" w:lineRule="exact"/>
        <w:rPr>
          <w:sz w:val="20"/>
          <w:szCs w:val="20"/>
          <w:color w:val="auto"/>
        </w:rPr>
      </w:pPr>
    </w:p>
    <w:p>
      <w:pPr>
        <w:ind w:left="4"/>
        <w:spacing w:after="0"/>
        <w:tabs>
          <w:tab w:leader="none" w:pos="78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b w:val="1"/>
          <w:bCs w:val="1"/>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1"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17"/>
          <w:szCs w:val="17"/>
          <w:color w:val="auto"/>
        </w:rPr>
        <w:t xml:space="preserve">3.7.2. </w:t>
      </w:r>
      <w:r>
        <w:rPr>
          <w:rFonts w:ascii="Times New Roman" w:cs="Times New Roman" w:eastAsia="Times New Roman" w:hAnsi="Times New Roman"/>
          <w:sz w:val="17"/>
          <w:szCs w:val="17"/>
          <w:b w:val="1"/>
          <w:bCs w:val="1"/>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w:t>
      </w:r>
    </w:p>
    <w:p>
      <w:pPr>
        <w:spacing w:after="0" w:line="4" w:lineRule="exact"/>
        <w:rPr>
          <w:sz w:val="20"/>
          <w:szCs w:val="20"/>
          <w:color w:val="auto"/>
        </w:rPr>
      </w:pPr>
    </w:p>
    <w:p>
      <w:pPr>
        <w:jc w:val="both"/>
        <w:ind w:left="4" w:hanging="4"/>
        <w:spacing w:after="0" w:line="251" w:lineRule="auto"/>
        <w:tabs>
          <w:tab w:leader="none" w:pos="2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278765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7" w:name="page68"/>
    <w:bookmarkEnd w:id="67"/>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u w:val="single" w:color="auto"/>
          <w:color w:val="auto"/>
        </w:rPr>
        <w:t>Share Combination Event Adjustment</w:t>
      </w:r>
      <w:r>
        <w:rPr>
          <w:rFonts w:ascii="Times New Roman" w:cs="Times New Roman" w:eastAsia="Times New Roman" w:hAnsi="Times New Roman"/>
          <w:sz w:val="18"/>
          <w:szCs w:val="18"/>
          <w:color w:val="auto"/>
        </w:rPr>
        <w:t>. In addition to the adjustments set forth in Section 3.1 above, if at any time and from time to time on or after the Issuance Date, there occurs any share split, share dividend, share combination recapitalization or other similar transaction involving the Common Stock (each, a “</w:t>
      </w:r>
      <w:r>
        <w:rPr>
          <w:rFonts w:ascii="Times New Roman" w:cs="Times New Roman" w:eastAsia="Times New Roman" w:hAnsi="Times New Roman"/>
          <w:sz w:val="18"/>
          <w:szCs w:val="18"/>
          <w:b w:val="1"/>
          <w:bCs w:val="1"/>
          <w:u w:val="single" w:color="auto"/>
          <w:color w:val="auto"/>
        </w:rPr>
        <w:t>Share 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u w:val="single" w:color="auto"/>
          <w:color w:val="auto"/>
        </w:rPr>
        <w:t>Share Combination Event Date</w:t>
      </w:r>
      <w:r>
        <w:rPr>
          <w:rFonts w:ascii="Times New Roman" w:cs="Times New Roman" w:eastAsia="Times New Roman" w:hAnsi="Times New Roman"/>
          <w:sz w:val="18"/>
          <w:szCs w:val="18"/>
          <w:color w:val="auto"/>
        </w:rPr>
        <w:t>”) and the lowest VWAP during the period commencing five (5) consecutive Trading Days immediately preceding and continuing through the five (5) consecutive Trading Days commencing on the Share Combination Event Date (the “</w:t>
      </w:r>
      <w:r>
        <w:rPr>
          <w:rFonts w:ascii="Times New Roman" w:cs="Times New Roman" w:eastAsia="Times New Roman" w:hAnsi="Times New Roman"/>
          <w:sz w:val="18"/>
          <w:szCs w:val="18"/>
          <w:b w:val="1"/>
          <w:bCs w:val="1"/>
          <w:u w:val="single" w:color="auto"/>
          <w:color w:val="auto"/>
        </w:rPr>
        <w:t>Event Market Price</w:t>
      </w:r>
      <w:r>
        <w:rPr>
          <w:rFonts w:ascii="Times New Roman" w:cs="Times New Roman" w:eastAsia="Times New Roman" w:hAnsi="Times New Roman"/>
          <w:sz w:val="18"/>
          <w:szCs w:val="18"/>
          <w:color w:val="auto"/>
        </w:rPr>
        <w:t>”) (provided if the Share Combination Event is effective after close of trading on the primary Trading Market, then commencing on the next Trading Day which period shall be the “</w:t>
      </w:r>
      <w:r>
        <w:rPr>
          <w:rFonts w:ascii="Times New Roman" w:cs="Times New Roman" w:eastAsia="Times New Roman" w:hAnsi="Times New Roman"/>
          <w:sz w:val="18"/>
          <w:szCs w:val="18"/>
          <w:b w:val="1"/>
          <w:bCs w:val="1"/>
          <w:u w:val="single" w:color="auto"/>
          <w:color w:val="auto"/>
        </w:rPr>
        <w:t>Share Combination Adjustment Period</w:t>
      </w:r>
      <w:r>
        <w:rPr>
          <w:rFonts w:ascii="Times New Roman" w:cs="Times New Roman" w:eastAsia="Times New Roman" w:hAnsi="Times New Roman"/>
          <w:sz w:val="18"/>
          <w:szCs w:val="18"/>
          <w:color w:val="auto"/>
        </w:rPr>
        <w:t>”) is less than the Exercise Price then in effect (after giving effect to the adjustment in Section 3.1 above), then at the close of trading on the primary Trading Market on the last day of the Share Combination Adjustment Period, the Exercise Price then in effect on such fifth (5th) Trading Day shall be reduced (but in no event increased) to the Event Market Price, and the number of Warrant Shares issuable hereunder shall be increased such that the aggregate Exercise Price of this Warrant on the Issuance Date for the Warrant Shares then outstanding shall remain unchanged following such event; provided, however, that the adjustment to the Exercise Price in this sentence shall not reduce the Exercise Price below the Floor Price; and provided further that notwithstanding the foregoing, if one or more Share Combination Events occurred prior to the Stockholder Approval being obtained and the reduction of the Exercise Price was limited by clause (i) of the definition of Floor Price, then once the Stockholder Approval is obtained, the Exercise Price will automatically be reduced to equal the greater of</w:t>
      </w:r>
    </w:p>
    <w:p>
      <w:pPr>
        <w:spacing w:after="0" w:line="4" w:lineRule="exact"/>
        <w:rPr>
          <w:sz w:val="20"/>
          <w:szCs w:val="20"/>
          <w:color w:val="auto"/>
        </w:rPr>
      </w:pPr>
    </w:p>
    <w:p>
      <w:pPr>
        <w:jc w:val="both"/>
        <w:ind w:left="4" w:hanging="4"/>
        <w:spacing w:after="0" w:line="250" w:lineRule="auto"/>
        <w:tabs>
          <w:tab w:leader="none" w:pos="2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Event Market Price with respect to any Share Combination Event that occurred prior to the Stockholder Approval being obtained, and (y) the price determined by reference to clause (ii) of the definition of Floor Price. For the avoidance of doubt, (a) if the adjustment in the immediately preceding sentence would otherwise result in an increase in the Exercise Price hereunder, no adjustment shall be made, and if this Warrant is exercised, on any given exercise date during the Share Combination Adjustment Period, solely with respect to such portion of this Warrant exercised on such applicable exercise date, such applicable Share Combination Adjustment Period shall be deemed to have ended on, and included, the Trading Day immediately prior to such exercise date and the Event Market Price on such applicable exercise date will be the lowest VWAP of the Common Stock immediately during such the Share Combination Adjustment Period prior to such exercise date and ending on, and including the Trading Day immediately prior to such exercise date and (b) all adjustments pursuant to this Section 3.8 shall also be subject to Section 3.1 above, including any Event Market Price. If the adjusted Exercise Price would have been below the Floor Price but for limitation of the Floor Price, then within three (3) Trading Days after any adjustment to the Applicable Price pursuant to this Section 3.8, the Company shall make a payment (the “</w:t>
      </w:r>
      <w:r>
        <w:rPr>
          <w:rFonts w:ascii="Times New Roman" w:cs="Times New Roman" w:eastAsia="Times New Roman" w:hAnsi="Times New Roman"/>
          <w:sz w:val="18"/>
          <w:szCs w:val="18"/>
          <w:b w:val="1"/>
          <w:bCs w:val="1"/>
          <w:u w:val="single" w:color="auto"/>
          <w:color w:val="auto"/>
        </w:rPr>
        <w:t>Reverse Stock Split Cash True-up Payment</w:t>
      </w:r>
      <w:r>
        <w:rPr>
          <w:rFonts w:ascii="Times New Roman" w:cs="Times New Roman" w:eastAsia="Times New Roman" w:hAnsi="Times New Roman"/>
          <w:sz w:val="18"/>
          <w:szCs w:val="18"/>
          <w:color w:val="auto"/>
        </w:rPr>
        <w:t>”) to the Holder for the economic difference between the Event Market Price and the Floor Price in cash. The Reverse Stock Split Cash True-up Payment shall be calculated as follows: the difference between (A) the number of Warrant Shares that would be issued if the Exercise Price was reduced to the Event Market Price without limitation of the Floor Price, minus</w:t>
      </w:r>
    </w:p>
    <w:p>
      <w:pPr>
        <w:spacing w:after="0" w:line="5"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number of Warrant Shares delivered using the Floor Price, multiplied by (C) the daily VWAP of the Common Stock on the Trading Day before the date the Reverse Stock Split Cash True-up Payment is due pursuant to this Section 3.8 [(A-B)*C)]. The aggregate of all Reverse Stock Split Cash True-up Payments under all Series A Warrants issued by the Company under the Registration Statement shall be limited to not more than $5,000,000 (the “</w:t>
      </w:r>
      <w:r>
        <w:rPr>
          <w:rFonts w:ascii="Times New Roman" w:cs="Times New Roman" w:eastAsia="Times New Roman" w:hAnsi="Times New Roman"/>
          <w:sz w:val="18"/>
          <w:szCs w:val="18"/>
          <w:b w:val="1"/>
          <w:bCs w:val="1"/>
          <w:u w:val="single" w:color="auto"/>
          <w:color w:val="auto"/>
        </w:rPr>
        <w:t>True-up Maximum Payment</w:t>
      </w:r>
      <w:r>
        <w:rPr>
          <w:rFonts w:ascii="Times New Roman" w:cs="Times New Roman" w:eastAsia="Times New Roman" w:hAnsi="Times New Roman"/>
          <w:sz w:val="18"/>
          <w:szCs w:val="18"/>
          <w:color w:val="auto"/>
        </w:rPr>
        <w:t>”), distributed pro rata to all holders of Series A Warrants, based on the percentage of Series A Warrants outstanding (as adjusted for forward and reverse stock splits, recapitalizations, stock dividends and the like after the execution of the Underwriting Agreement). By way of example, if 10 million Series A Warrants were issued and 3 million Series A Warrants were exercised, the maximum payment to all holders of outstanding Series A Warrants in the aggregate would be 70% of the True-up Maximum Payment. Notwithstanding anything herein to the contrary, the Company shall suspend the payment of the portion of any Reverse Stock Split Cash True-up Payment (such amount, the “</w:t>
      </w:r>
      <w:r>
        <w:rPr>
          <w:rFonts w:ascii="Times New Roman" w:cs="Times New Roman" w:eastAsia="Times New Roman" w:hAnsi="Times New Roman"/>
          <w:sz w:val="18"/>
          <w:szCs w:val="18"/>
          <w:b w:val="1"/>
          <w:bCs w:val="1"/>
          <w:u w:val="single" w:color="auto"/>
          <w:color w:val="auto"/>
        </w:rPr>
        <w:t>Suspended Reverse Stock Split Cash True-up Payment Amount</w:t>
      </w:r>
      <w:r>
        <w:rPr>
          <w:rFonts w:ascii="Times New Roman" w:cs="Times New Roman" w:eastAsia="Times New Roman" w:hAnsi="Times New Roman"/>
          <w:sz w:val="18"/>
          <w:szCs w:val="18"/>
          <w:color w:val="auto"/>
        </w:rPr>
        <w:t>”) that would otherwise result in (i) the Company being unable to pay its obligations as they become due in the ordinary course of business, and/or (ii) the Company being unable to satisfy the applicable listing standards of the Trading Market (such limitation, the “</w:t>
      </w:r>
      <w:r>
        <w:rPr>
          <w:rFonts w:ascii="Times New Roman" w:cs="Times New Roman" w:eastAsia="Times New Roman" w:hAnsi="Times New Roman"/>
          <w:sz w:val="18"/>
          <w:szCs w:val="18"/>
          <w:b w:val="1"/>
          <w:bCs w:val="1"/>
          <w:u w:val="single" w:color="auto"/>
          <w:color w:val="auto"/>
        </w:rPr>
        <w:t>Reverse Stock Split Cash True-up Payment Cap</w:t>
      </w:r>
      <w:r>
        <w:rPr>
          <w:rFonts w:ascii="Times New Roman" w:cs="Times New Roman" w:eastAsia="Times New Roman" w:hAnsi="Times New Roman"/>
          <w:sz w:val="18"/>
          <w:szCs w:val="18"/>
          <w:color w:val="auto"/>
        </w:rPr>
        <w:t>,” and such events triggering the Reverse Stock Split Cash True-up Payment Cap, the “</w:t>
      </w:r>
      <w:r>
        <w:rPr>
          <w:rFonts w:ascii="Times New Roman" w:cs="Times New Roman" w:eastAsia="Times New Roman" w:hAnsi="Times New Roman"/>
          <w:sz w:val="18"/>
          <w:szCs w:val="18"/>
          <w:b w:val="1"/>
          <w:bCs w:val="1"/>
          <w:u w:val="single" w:color="auto"/>
          <w:color w:val="auto"/>
        </w:rPr>
        <w:t>Reverse Stock Split Cash True-up Payment Cap Triggering Events</w:t>
      </w:r>
      <w:r>
        <w:rPr>
          <w:rFonts w:ascii="Times New Roman" w:cs="Times New Roman" w:eastAsia="Times New Roman" w:hAnsi="Times New Roman"/>
          <w:sz w:val="18"/>
          <w:szCs w:val="18"/>
          <w:color w:val="auto"/>
        </w:rPr>
        <w:t>”). The Reverse Stock Split Cash True-up Payment Cap shall be calculated by the Company in good faith and communicated to the Holder (and certified by the Company’s chief executive officer or chief financial officer) in writing at the time the Reverse Stock Split Cash True-Up Payment is made. Within five Business Days of the first day when there is no persisting Reverse Stock Split Cash True-up Payment Cap Triggering Event, the Company shall pay the Holder the Suspended Reverse Stock Split Cash True-up Payment Amount. Notwithstanding the foregoing, no Reverse Stock Split Cash True-up Payment shall be paid or payable by the Companyso long as the current Exercise Price is less than or equal to the Event Market Price (as determined as of a date not more than two (2) Trading Days following the date on which the Event Market Price is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277495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8" w:name="page69"/>
    <w:bookmarkEnd w:id="68"/>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w:t>
      </w:r>
    </w:p>
    <w:p>
      <w:pPr>
        <w:spacing w:after="0" w:line="171"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The Company shall hold a special meeting of stockholders (which may also be at the annual meeting of stockholders) at the earliest practicable date after the date hereof, but in no event later than sixty (60) days after the Closing Date for the purpose of obtaining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Within twenty (20) Business Days following the Closing Date, the Company shall file with the Commission a preliminary proxy statement for the purpose of obtaining Stockholder Approval, and the Company shall use its best efforts to obtain such Stockholder Approval. In the event Stockholder Approval (or board approval in lieu thereof following six (6) months after the Closing Date) does not occur, the Company will be required to hold additional meetings at least once every sixty (60) days until the earlier of the date Stockholder Approval is obtained or the Warrants are no longer outstanding, with printed and mailed proxy statements sent to stockholders for such meetings. Notwithstanding the foregoing, the Company may, in lieu of holding a special meeting of stockholders as aforesaid, obtain the written consent of a majority of its stockholders covering the Stockholder Approval so long as prior to sixty (60) days after the Closing Date, such written consents are obtained and in accordance with Exchange Act Rule 14c-2 at least twenty</w:t>
      </w:r>
    </w:p>
    <w:p>
      <w:pPr>
        <w:spacing w:after="0" w:line="6" w:lineRule="exact"/>
        <w:rPr>
          <w:sz w:val="20"/>
          <w:szCs w:val="20"/>
          <w:color w:val="auto"/>
        </w:rPr>
      </w:pPr>
    </w:p>
    <w:p>
      <w:pPr>
        <w:ind w:left="4" w:hanging="4"/>
        <w:spacing w:after="0" w:line="260"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transpired from the date on which a written information statement containing the information specified in Schedule 14C detailing such Stockholder Approval shall have been filed with the Commission and delivered to stockholders of the Company.</w:t>
      </w:r>
    </w:p>
    <w:p>
      <w:pPr>
        <w:spacing w:after="0" w:line="17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Reset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the Reset Date, the Exercise Price shall be adjusted to equal the lower of (i) the Exercise Price then in effect and (ii) the Reset Price determined as of the date of determination. Upon such reset of the Exercise Price pursuant to this Section 3.11, the number of Warrant Shares issuable hereunder shall be increased such that the aggregate Exercise Price of this Warrant on the Issuance Date for the Warrant Shares then outstanding shall remain unchanged following such reset. Notwithstanding the foregoing, if a Holder requests to exercise this Warrant in whole or in part on any given date prior to the Reset Date, solely with respect to such portion of this Warrant being exercised on such applicable Exercise Date, (a) such applicable Reset Date shall be deemed to mean the Exercise Date, (b) such applicable Reset Period shall be deemed to have ended on the Trading Day immediately prior to the Exercise Date and (c) the applicable Reset Price for such exercised Warrants shall be calculated pursuant to this Section 3.11. For the avoidance of doubt, following the calculation of the Reset Price pursuant to this Section 3.11, the Company’s obligations with regard to such exercised Warrants shall be deemed satisfied and no additional Reset Price shall apply to such exercised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277495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69" w:name="page70"/>
    <w:bookmarkEnd w:id="69"/>
    <w:p>
      <w:pPr>
        <w:ind w:left="652" w:hanging="652"/>
        <w:spacing w:after="0"/>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Exhibit </w:t>
      </w:r>
      <w:r>
        <w:rPr>
          <w:rFonts w:ascii="Times New Roman" w:cs="Times New Roman" w:eastAsia="Times New Roman" w:hAnsi="Times New Roman"/>
          <w:sz w:val="18"/>
          <w:szCs w:val="18"/>
          <w:u w:val="single" w:color="auto"/>
          <w:color w:val="auto"/>
        </w:rPr>
        <w:t>2.4.6</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2" w:lineRule="exact"/>
        <w:rPr>
          <w:rFonts w:ascii="Times New Roman" w:cs="Times New Roman" w:eastAsia="Times New Roman" w:hAnsi="Times New Roman"/>
          <w:sz w:val="18"/>
          <w:szCs w:val="18"/>
          <w:color w:val="auto"/>
        </w:rPr>
      </w:pPr>
    </w:p>
    <w:p>
      <w:pPr>
        <w:jc w:val="both"/>
        <w:ind w:left="652"/>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2" w:lineRule="exact"/>
        <w:rPr>
          <w:rFonts w:ascii="Times New Roman" w:cs="Times New Roman" w:eastAsia="Times New Roman" w:hAnsi="Times New Roman"/>
          <w:sz w:val="18"/>
          <w:szCs w:val="18"/>
          <w:color w:val="auto"/>
        </w:rPr>
      </w:pPr>
    </w:p>
    <w:p>
      <w:pPr>
        <w:jc w:val="both"/>
        <w:ind w:left="65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70" w:name="page71"/>
    <w:bookmarkEnd w:id="70"/>
    <w:p>
      <w:pPr>
        <w:ind w:left="652" w:hanging="652"/>
        <w:spacing w:after="0"/>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2.4.1, except as expressly set forth in Section 3. Without limiting any rights of a Holder to receive Warrant Shares on a “cashless exercise” pursuant to Section 2.3 or to receive cash payments pursuant to Section 2.4.1 and Section 2.4.4 herein, in no event shall the Company be required to net cash settle an exercise of this Warrant.</w:t>
      </w:r>
    </w:p>
    <w:p>
      <w:pPr>
        <w:spacing w:after="0" w:line="399" w:lineRule="exact"/>
        <w:rPr>
          <w:rFonts w:ascii="Times New Roman" w:cs="Times New Roman" w:eastAsia="Times New Roman" w:hAnsi="Times New Roman"/>
          <w:sz w:val="18"/>
          <w:szCs w:val="18"/>
          <w:color w:val="auto"/>
        </w:rPr>
      </w:pPr>
    </w:p>
    <w:p>
      <w:pPr>
        <w:jc w:val="both"/>
        <w:ind w:left="652"/>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9" w:lineRule="exact"/>
        <w:rPr>
          <w:sz w:val="20"/>
          <w:szCs w:val="20"/>
          <w:color w:val="auto"/>
        </w:rPr>
      </w:pPr>
    </w:p>
    <w:p>
      <w:pPr>
        <w:jc w:val="both"/>
        <w:ind w:left="652"/>
        <w:spacing w:after="0" w:line="28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5" w:lineRule="exact"/>
        <w:rPr>
          <w:sz w:val="20"/>
          <w:szCs w:val="20"/>
          <w:color w:val="auto"/>
        </w:rPr>
      </w:pPr>
    </w:p>
    <w:p>
      <w:pPr>
        <w:ind w:left="652"/>
        <w:spacing w:after="0"/>
        <w:tabs>
          <w:tab w:leader="none" w:pos="143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Authorized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52"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u w:val="single" w:color="auto"/>
          <w:color w:val="auto"/>
        </w:rPr>
        <w:t>Reservation of Authorized and Unissued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u w:val="single" w:color="auto"/>
          <w:color w:val="auto"/>
        </w:rPr>
        <w:t>Noncircumvention</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b w:val="1"/>
          <w:bCs w:val="1"/>
          <w:u w:val="single" w:color="auto"/>
          <w:color w:val="auto"/>
        </w:rPr>
        <w:t>Authorizations, Exemptions and Consents</w:t>
      </w:r>
      <w:r>
        <w:rPr>
          <w:rFonts w:ascii="Times New Roman" w:cs="Times New Roman" w:eastAsia="Times New Roman" w:hAnsi="Times New Roman"/>
          <w:sz w:val="18"/>
          <w:szCs w:val="18"/>
          <w:color w:val="auto"/>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283845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2025 SW Deerhound Ave., Redmond, OR 97756, Attention: Brian Schaffner, Chief Executive Officer, email address: brian.schaffner@expion360.com,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277495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73" w:name="page74"/>
    <w:bookmarkEnd w:id="73"/>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on the other hand.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5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[XPON Investor Registered Warrant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301625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i w:val="1"/>
          <w:iCs w:val="1"/>
          <w:color w:val="auto"/>
        </w:rPr>
        <w:t>[XPON Investor Registered Warrant Signature Page]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Registered Warrant to be executed by its officer thereunto duly authorized as of the date first above indicated.</w:t>
      </w: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Brian Schaffner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EXPION360 INC.</w:t>
      </w:r>
    </w:p>
    <w:p>
      <w:pPr>
        <w:spacing w:after="0" w:line="225" w:lineRule="exact"/>
        <w:rPr>
          <w:sz w:val="20"/>
          <w:szCs w:val="20"/>
          <w:color w:val="auto"/>
        </w:rPr>
      </w:pPr>
    </w:p>
    <w:p>
      <w:pPr>
        <w:ind w:right="20" w:firstLine="1304"/>
        <w:spacing w:after="0" w:line="282" w:lineRule="auto"/>
        <w:tabs>
          <w:tab w:leader="none" w:pos="2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w:t>
      </w:r>
    </w:p>
    <w:p>
      <w:pPr>
        <w:spacing w:after="0" w:line="225" w:lineRule="exact"/>
        <w:rPr>
          <w:sz w:val="20"/>
          <w:szCs w:val="20"/>
          <w:color w:val="auto"/>
        </w:rPr>
      </w:pPr>
    </w:p>
    <w:p>
      <w:pPr>
        <w:jc w:val="both"/>
        <w:ind w:left="2600"/>
        <w:spacing w:after="0" w:line="266" w:lineRule="auto"/>
        <w:tabs>
          <w:tab w:leader="none" w:pos="27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2.3, to exercise this Warrant with respect to the maximum number of Warrant Shares purchasable pursuant to the cashless exercise procedure set forth in subsection 2.3.</w:t>
      </w:r>
    </w:p>
    <w:p>
      <w:pPr>
        <w:spacing w:after="0" w:line="175" w:lineRule="exact"/>
        <w:rPr>
          <w:rFonts w:ascii="Times New Roman" w:cs="Times New Roman" w:eastAsia="Times New Roman" w:hAnsi="Times New Roman"/>
          <w:sz w:val="18"/>
          <w:szCs w:val="18"/>
          <w:color w:val="auto"/>
        </w:rPr>
      </w:pPr>
    </w:p>
    <w:p>
      <w:pPr>
        <w:ind w:left="2180" w:hanging="876"/>
        <w:spacing w:after="0"/>
        <w:tabs>
          <w:tab w:leader="none" w:pos="2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jc w:val="right"/>
        <w:ind w:right="3439"/>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18415</wp:posOffset>
            </wp:positionV>
            <wp:extent cx="34201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ind w:left="10360"/>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xpion</w:t>
      </w:r>
      <w:r>
        <w:rPr>
          <w:rFonts w:ascii="Times New Roman" w:cs="Times New Roman" w:eastAsia="Times New Roman" w:hAnsi="Times New Roman"/>
          <w:sz w:val="18"/>
          <w:szCs w:val="18"/>
          <w:b w:val="1"/>
          <w:bCs w:val="1"/>
          <w:color w:val="auto"/>
        </w:rPr>
        <w:t>360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eries</w:t>
      </w:r>
      <w:r>
        <w:rPr>
          <w:rFonts w:ascii="Times New Roman" w:cs="Times New Roman" w:eastAsia="Times New Roman" w:hAnsi="Times New Roman"/>
          <w:sz w:val="18"/>
          <w:szCs w:val="18"/>
          <w:b w:val="1"/>
          <w:bCs w:val="1"/>
          <w:color w:val="auto"/>
        </w:rPr>
        <w:t xml:space="preserve"> B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Common Shares: The Maximum Eligibility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August 8, 2024 (</w:t>
      </w:r>
      <w:r>
        <w:rPr>
          <w:rFonts w:ascii="Times New Roman" w:cs="Times New Roman" w:eastAsia="Times New Roman" w:hAnsi="Times New Roman"/>
          <w:sz w:val="18"/>
          <w:szCs w:val="18"/>
          <w:b w:val="1"/>
          <w:bCs w:val="1"/>
          <w:i w:val="1"/>
          <w:iCs w:val="1"/>
          <w:color w:val="auto"/>
        </w:rPr>
        <w:t>“Issuance 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Expion360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hereby certifies that, for good and valuable consideration, the receipt and sufficiency of which are hereby acknowledged, [●], the registered holder hereof or its permitted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is entitled, subject to the terms set forth below, to purchase from the Company, at the Exercise Price (as defined below) then in effect, at any time or times on or after the Issuance Date, up to the Maximum Eligibility Number (as defined below) of fully paid nonassessable Common Shares, subject to adjustment as provided herein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Except as otherwise defined herein, capitalized terms in this Warrant to Purchase Common Shares (including any Warrants to Purchase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issued in exchange, transfer or replacement hereof,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shall have the meanings set forth in Section 17. This Warrant is one of the Series B Warrants to purchase Common Shares (the </w:t>
      </w:r>
      <w:r>
        <w:rPr>
          <w:rFonts w:ascii="Times New Roman" w:cs="Times New Roman" w:eastAsia="Times New Roman" w:hAnsi="Times New Roman"/>
          <w:sz w:val="18"/>
          <w:szCs w:val="18"/>
          <w:b w:val="1"/>
          <w:bCs w:val="1"/>
          <w:i w:val="1"/>
          <w:iCs w:val="1"/>
          <w:color w:val="auto"/>
        </w:rPr>
        <w:t>“Series B Warrants”</w:t>
      </w:r>
      <w:r>
        <w:rPr>
          <w:rFonts w:ascii="Times New Roman" w:cs="Times New Roman" w:eastAsia="Times New Roman" w:hAnsi="Times New Roman"/>
          <w:sz w:val="18"/>
          <w:szCs w:val="18"/>
          <w:color w:val="auto"/>
        </w:rPr>
        <w:t xml:space="preserve">) issued pursuant to Section 1 of that certain Underwriting Agreement, dated as of August 7, 2024, by and among the Company and the investors (the </w:t>
      </w:r>
      <w:r>
        <w:rPr>
          <w:rFonts w:ascii="Times New Roman" w:cs="Times New Roman" w:eastAsia="Times New Roman" w:hAnsi="Times New Roman"/>
          <w:sz w:val="18"/>
          <w:szCs w:val="18"/>
          <w:b w:val="1"/>
          <w:bCs w:val="1"/>
          <w:i w:val="1"/>
          <w:iCs w:val="1"/>
          <w:color w:val="auto"/>
        </w:rPr>
        <w:t>“Buyers”</w:t>
      </w:r>
      <w:r>
        <w:rPr>
          <w:rFonts w:ascii="Times New Roman" w:cs="Times New Roman" w:eastAsia="Times New Roman" w:hAnsi="Times New Roman"/>
          <w:sz w:val="18"/>
          <w:szCs w:val="18"/>
          <w:color w:val="auto"/>
        </w:rPr>
        <w:t xml:space="preserve">) referred to therein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Capitalized terms used herein and not otherwise defined shall have the definitions ascribed to such terms in the Underwriting Agreement.</w:t>
      </w:r>
    </w:p>
    <w:p>
      <w:pPr>
        <w:spacing w:after="0" w:line="192" w:lineRule="exact"/>
        <w:rPr>
          <w:sz w:val="20"/>
          <w:szCs w:val="20"/>
          <w:color w:val="auto"/>
        </w:rPr>
      </w:pPr>
    </w:p>
    <w:p>
      <w:pPr>
        <w:ind w:left="1480" w:hanging="176"/>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at any time or times on or after the Issuance Date, in whole or in part, by (i) delivery of a written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xml:space="preserve">), of the Holder’s election to exercise this Warrant and (ii) (A) payment to the Company of an amount equal to the applicable Exercise Price multiplied by the number of Warrant Shares as to which this Warrant is being exercised (the </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in cash by wire transfer of immediately available funds or (B) by notifying the Company that this Warrant is being exercised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 Cashless Exercise (as defined in Section 1(d)).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original Warrant and issuance of a new Warrant evidencing the right to purchase the remaining number of Warrant Shares. On or before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Trading Day following the date on which the Company has received the Exercise Notice, the Company shall transmit by electronic mail an acknowledgment of confirmation of receipt of the Exercise Notice to the Holder and the Company’s transfer agent (the </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xml:space="preserve">). On or before the earlier of (i) the first (1st) Trading Day and (ii) the number of Trading Days comprising the Standard Settlement Period, in each case, following the date on which the Holder delivers the Exercise Notice to the Company, so long as the Holder delivers the Aggregate Exercise Price (or notice of a Cashless Exercise), on or prior to the Trading Day following the date on which the Company has received the Exercise Notice (the </w:t>
      </w:r>
      <w:r>
        <w:rPr>
          <w:rFonts w:ascii="Times New Roman" w:cs="Times New Roman" w:eastAsia="Times New Roman" w:hAnsi="Times New Roman"/>
          <w:sz w:val="17"/>
          <w:szCs w:val="17"/>
          <w:b w:val="1"/>
          <w:bCs w:val="1"/>
          <w:i w:val="1"/>
          <w:iCs w:val="1"/>
          <w:color w:val="auto"/>
        </w:rPr>
        <w:t>“Share Delivery Date”</w:t>
      </w:r>
      <w:r>
        <w:rPr>
          <w:rFonts w:ascii="Times New Roman" w:cs="Times New Roman" w:eastAsia="Times New Roman" w:hAnsi="Times New Roman"/>
          <w:sz w:val="17"/>
          <w:szCs w:val="17"/>
          <w:color w:val="auto"/>
        </w:rPr>
        <w:t>) (provided that if the Aggregate Exercise Price has not been delivered by such date, the Share Delivery Date shall be one (1) Trading Day after the Aggregate Exercise Price (or notice of a Cashless Exercise) is delivered), the Company shall (X) provided that the Transfer Agent is participating in The Depository Trust Company (</w:t>
      </w:r>
      <w:r>
        <w:rPr>
          <w:rFonts w:ascii="Times New Roman" w:cs="Times New Roman" w:eastAsia="Times New Roman" w:hAnsi="Times New Roman"/>
          <w:sz w:val="17"/>
          <w:szCs w:val="17"/>
          <w:b w:val="1"/>
          <w:bCs w:val="1"/>
          <w:i w:val="1"/>
          <w:iCs w:val="1"/>
          <w:color w:val="auto"/>
        </w:rPr>
        <w:t>“DTC”</w:t>
      </w:r>
      <w:r>
        <w:rPr>
          <w:rFonts w:ascii="Times New Roman" w:cs="Times New Roman" w:eastAsia="Times New Roman" w:hAnsi="Times New Roman"/>
          <w:sz w:val="17"/>
          <w:szCs w:val="17"/>
          <w:color w:val="auto"/>
        </w:rPr>
        <w:t xml:space="preserve">) Fast Automated Securities Transfer Program, credit such aggregate number of Warrant Shares to which the Holder is entitled pursuant to such exercise to the Holder’s or its designee’s balance account with DTC through its Deposit / Withdrawal At Custodian system, or (Y) if the Transfer Agent is not participating in the DTC Fast Automated Securities Transfer Program,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book entry statements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Times New Roman" w:cs="Times New Roman" w:eastAsia="Times New Roman" w:hAnsi="Times New Roman"/>
          <w:sz w:val="17"/>
          <w:szCs w:val="17"/>
          <w:b w:val="1"/>
          <w:bCs w:val="1"/>
          <w:color w:val="auto"/>
        </w:rPr>
        <w:t>NOTWITHSTANDING ANY PROVISION OF THIS WARRANT TO</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THE CONTRARY, NO MORE THAN THE MAXIMUM ELIGIBILITY NUMBER OF WARRANT SHARES SHALL BE EXERCISABLE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19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For purposes of this Warrant,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$0.001 per share, subject to adjustment as provided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both"/>
        <w:ind w:firstLine="1952"/>
        <w:spacing w:after="0" w:line="252" w:lineRule="auto"/>
        <w:tabs>
          <w:tab w:leader="none" w:pos="22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Deliver Securities</w:t>
      </w:r>
      <w:r>
        <w:rPr>
          <w:rFonts w:ascii="Times New Roman" w:cs="Times New Roman" w:eastAsia="Times New Roman" w:hAnsi="Times New Roman"/>
          <w:sz w:val="18"/>
          <w:szCs w:val="18"/>
          <w:color w:val="auto"/>
        </w:rPr>
        <w:t xml:space="preserve">. If the Company shall fail to cause its Transfer Agent to transmit to the Holder on or prior to the Share Delivery Date, Warrant Shares pursuant to an exercise notice delivered by the Holder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i w:val="1"/>
          <w:iCs w:val="1"/>
          <w:color w:val="auto"/>
        </w:rPr>
        <w:t>“Buy-In”</w:t>
      </w:r>
      <w:r>
        <w:rPr>
          <w:rFonts w:ascii="Times New Roman" w:cs="Times New Roman" w:eastAsia="Times New Roman" w:hAnsi="Times New Roman"/>
          <w:sz w:val="18"/>
          <w:szCs w:val="18"/>
          <w:color w:val="auto"/>
        </w:rPr>
        <w:t>), then the Company shall, within three (3) Trading Days after the Holder’s request,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evidence of the amount of such loss. Nothing herein shall limit the Holder’s right to pursue any other remedies available to it hereunder, at law or in equity, including, without limitation, a decree of specific performance and/or injunctive relief with respect to the Company’s failure to timely deliver Common Shares upon the exercise of this Warrant as required pursuant to the terms hereof.</w:t>
      </w:r>
    </w:p>
    <w:p>
      <w:pPr>
        <w:spacing w:after="0" w:line="194"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While the Series B Warrants are outstanding, the Company will use its best efforts to maintain the effectiveness of the Registration Statement. Notwithstanding anything contained herein to the contrary,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Common Shares determined according to the following formula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x B) - (A x C)</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A=the total number of shares with respect to which this Warrant is then being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both"/>
        <w:ind w:left="460" w:right="640" w:hanging="339"/>
        <w:spacing w:after="0" w:line="253" w:lineRule="auto"/>
        <w:tabs>
          <w:tab w:leader="none" w:pos="440" w:val="left"/>
        </w:tabs>
        <w:rPr>
          <w:sz w:val="20"/>
          <w:szCs w:val="20"/>
          <w:color w:val="auto"/>
        </w:rPr>
      </w:pPr>
      <w:r>
        <w:rPr>
          <w:rFonts w:ascii="Times New Roman" w:cs="Times New Roman" w:eastAsia="Times New Roman" w:hAnsi="Times New Roman"/>
          <w:sz w:val="18"/>
          <w:szCs w:val="18"/>
          <w:color w:val="auto"/>
        </w:rPr>
        <w:t>B=</w:t>
        <w:tab/>
        <w:t>as applicable: (i) the Weighted Average Price of the Common Shares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Weighted Average Price on the Trading Day immediately preceding the date of the applicable Exercise Notice or (z) the bid price of the Common Shares on the principal Trading Market as reported by Bloomberg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Section 1(a) hereof or (iii) the Weighted Average Price of the Common Shares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C=the Exercise Price then in effect for the applicable Warrant Shares at the time of such exercise.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Common Shares are issued pursuant to this Section 1(d), the Company hereby acknowledges and agrees that the Warrant Shares issued in a Cashless Exercise shall take on the registered characteristics of the Warrants being exercised. The Company agrees not to take any position contrary to this Section 1(d).</w:t>
      </w:r>
    </w:p>
    <w:p>
      <w:pPr>
        <w:spacing w:after="0" w:line="176" w:lineRule="exact"/>
        <w:rPr>
          <w:sz w:val="20"/>
          <w:szCs w:val="20"/>
          <w:color w:val="auto"/>
        </w:rPr>
      </w:pPr>
    </w:p>
    <w:p>
      <w:pPr>
        <w:jc w:val="both"/>
        <w:ind w:firstLine="1952"/>
        <w:spacing w:after="0" w:line="266" w:lineRule="auto"/>
        <w:tabs>
          <w:tab w:leader="none" w:pos="21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7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Limitations on Exercises</w:t>
      </w:r>
      <w:r>
        <w:rPr>
          <w:rFonts w:ascii="Times New Roman" w:cs="Times New Roman" w:eastAsia="Times New Roman" w:hAnsi="Times New Roman"/>
          <w:sz w:val="18"/>
          <w:szCs w:val="18"/>
          <w:color w:val="auto"/>
        </w:rPr>
        <w:t xml:space="preserve">.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(or, upon election by a Holder prior to the issuance of any Warrants, 9.99%) (the </w:t>
      </w:r>
      <w:r>
        <w:rPr>
          <w:rFonts w:ascii="Times New Roman" w:cs="Times New Roman" w:eastAsia="Times New Roman" w:hAnsi="Times New Roman"/>
          <w:sz w:val="18"/>
          <w:szCs w:val="18"/>
          <w:b w:val="1"/>
          <w:bCs w:val="1"/>
          <w:i w:val="1"/>
          <w:iCs w:val="1"/>
          <w:color w:val="auto"/>
        </w:rPr>
        <w:t>“Maximum Percentage”</w:t>
      </w:r>
      <w:r>
        <w:rPr>
          <w:rFonts w:ascii="Times New Roman" w:cs="Times New Roman" w:eastAsia="Times New Roman" w:hAnsi="Times New Roman"/>
          <w:sz w:val="18"/>
          <w:szCs w:val="18"/>
          <w:color w:val="auto"/>
        </w:rPr>
        <w:t xml:space="preserve">) of the number of Common Shares outstanding immediately after giving effect to such exercise. For purposes of the foregoing sentence, the aggregate number of Common Shares beneficially owned by the Holder and the other Attribution Parties shall include the number of Common Shares held by the Holder and all other Attribution Parties plus the number of Common Shares issuable upon exercise of this Warrant with respect to which the determination of such sentence is being made, but shall exclude the number of Common Shares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xml:space="preserve">). For purposes of this Warrant, in determining the number of outstanding Common Shares the Holder may acquire upon the exercise of this Warrant without exceeding the Maximum Percentage, the Holder may rely on the number of outstanding Common Shares as reflected in (x) the Company’s most recent Annual Report on Form 10-K, Quarterly Report on Form 10-Q, Current Report on Form 8-K or other public filing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as the case may be, (y) a more recent public announcement by the Company or (3) any other written notice by the Company or the Transfer Agent setting forth the number of Common Shares outstanding (the </w:t>
      </w:r>
      <w:r>
        <w:rPr>
          <w:rFonts w:ascii="Times New Roman" w:cs="Times New Roman" w:eastAsia="Times New Roman" w:hAnsi="Times New Roman"/>
          <w:sz w:val="18"/>
          <w:szCs w:val="18"/>
          <w:b w:val="1"/>
          <w:bCs w:val="1"/>
          <w:i w:val="1"/>
          <w:iCs w:val="1"/>
          <w:color w:val="auto"/>
        </w:rPr>
        <w:t>“Reported Outstanding Share Number”</w:t>
      </w:r>
      <w:r>
        <w:rPr>
          <w:rFonts w:ascii="Times New Roman" w:cs="Times New Roman" w:eastAsia="Times New Roman" w:hAnsi="Times New Roman"/>
          <w:sz w:val="18"/>
          <w:szCs w:val="18"/>
          <w:color w:val="auto"/>
        </w:rPr>
        <w:t xml:space="preserve">). If the Company receives an Exercise Notice from the Holder at a time when the actual number of outstanding Common Shares is less than the Reported Outstanding Share Number, the Company shall (i) notify the Holder in writing of the number of Common Shares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i w:val="1"/>
          <w:iCs w:val="1"/>
          <w:color w:val="auto"/>
        </w:rPr>
        <w:t>“Reduction Shares”</w:t>
      </w:r>
      <w:r>
        <w:rPr>
          <w:rFonts w:ascii="Times New Roman" w:cs="Times New Roman" w:eastAsia="Times New Roman" w:hAnsi="Times New Roman"/>
          <w:sz w:val="18"/>
          <w:szCs w:val="18"/>
          <w:color w:val="auto"/>
        </w:rPr>
        <w:t xml:space="preserve">) and (ii) as soon as reasonably practicable, the Company shall return to the Holder any exercise price paid by the Holder for the Reduction Shares. For any reason at any time, upon the written or oral request of the Holder, the Company shall within one (1) Trading Day confirm orally and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Shares to the Holder upon exercise of this Warrant results in the Holder and the other Attribution Parties being deemed to beneficially own, in the aggregate, more than the Maximum Percentage of the number of outstanding Common Shares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i w:val="1"/>
          <w:i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For purposes of clarity, the Common Shares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jc w:val="both"/>
        <w:ind w:left="-1120" w:firstLine="1952"/>
        <w:spacing w:after="0" w:line="251" w:lineRule="auto"/>
        <w:tabs>
          <w:tab w:leader="none" w:pos="10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xml:space="preserve">. If at any time while this Warrant remains outstanding the Company does not have a sufficient number of authorized and unreserved Common Shares to satisfy its obligation to reserve for issuance upon exercise of this Warrant at least a number of Common Shares equal to 100% of the number of Common Shares as shall from time to time be necessary to effect the exercise of all of this Warrant then outstanding without regard to any limitation on exercise included herein and assuming that the Maximum Eligibility Number is being determined based on a Reset Price equal to $0.05206 (as adjusted for stock splits, stock dividends, recapitalizations, reorganizations, reclassification, combinations, reverse stock splits or other similar events occurring after the Issuance Date) (the </w:t>
      </w:r>
      <w:r>
        <w:rPr>
          <w:rFonts w:ascii="Times New Roman" w:cs="Times New Roman" w:eastAsia="Times New Roman" w:hAnsi="Times New Roman"/>
          <w:sz w:val="18"/>
          <w:szCs w:val="18"/>
          <w:b w:val="1"/>
          <w:bCs w:val="1"/>
          <w:i w:val="1"/>
          <w:iCs w:val="1"/>
          <w:color w:val="auto"/>
        </w:rPr>
        <w:t>“Required Reserve Amount”</w:t>
      </w:r>
      <w:r>
        <w:rPr>
          <w:rFonts w:ascii="Times New Roman" w:cs="Times New Roman" w:eastAsia="Times New Roman" w:hAnsi="Times New Roman"/>
          <w:sz w:val="18"/>
          <w:szCs w:val="18"/>
          <w:color w:val="auto"/>
        </w:rPr>
        <w:t xml:space="preserve"> and the failure to have such sufficient number of authorized and unreserved Common Shares, an </w:t>
      </w:r>
      <w:r>
        <w:rPr>
          <w:rFonts w:ascii="Times New Roman" w:cs="Times New Roman" w:eastAsia="Times New Roman" w:hAnsi="Times New Roman"/>
          <w:sz w:val="18"/>
          <w:szCs w:val="18"/>
          <w:b w:val="1"/>
          <w:bCs w:val="1"/>
          <w:i w:val="1"/>
          <w:i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Common Shares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Common Shares. In connection with such meeting, the Company shall provide each shareholder with a proxy statement and shall use its best efforts to solicit its shareholders’ approval of such increase in authorized Common Shares and to cause its board of directors to recommend to the shareholders that they approve such proposal. Notwithstanding the foregoing, if at any such time of an Authorized Share Failure, the Company is able to obtain the approval of holders of a majority of the shares voting at a general meeting to approve the increase in the number of authorized Common Shares, the Company may satisfy this obligation by obtaining such approval.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Exercise Date and the date that the Company makes the applicable cash payment.”</w:t>
      </w:r>
    </w:p>
    <w:p>
      <w:pPr>
        <w:spacing w:after="0" w:line="204" w:lineRule="exact"/>
        <w:rPr>
          <w:rFonts w:ascii="Times New Roman" w:cs="Times New Roman" w:eastAsia="Times New Roman" w:hAnsi="Times New Roman"/>
          <w:sz w:val="18"/>
          <w:szCs w:val="18"/>
          <w:color w:val="auto"/>
        </w:rPr>
      </w:pPr>
    </w:p>
    <w:p>
      <w:pPr>
        <w:ind w:left="-1120" w:firstLine="1304"/>
        <w:spacing w:after="0" w:line="282" w:lineRule="auto"/>
        <w:tabs>
          <w:tab w:leader="none" w:pos="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WARRANT SHARES</w:t>
      </w:r>
      <w:r>
        <w:rPr>
          <w:rFonts w:ascii="Times New Roman" w:cs="Times New Roman" w:eastAsia="Times New Roman" w:hAnsi="Times New Roman"/>
          <w:sz w:val="18"/>
          <w:szCs w:val="18"/>
          <w:color w:val="auto"/>
        </w:rPr>
        <w:t>. The Exercise Price and the number of Warrant Shares shall be adjusted from time to time as follows:</w:t>
      </w:r>
    </w:p>
    <w:p>
      <w:pPr>
        <w:spacing w:after="0" w:line="161" w:lineRule="exact"/>
        <w:rPr>
          <w:rFonts w:ascii="Times New Roman" w:cs="Times New Roman" w:eastAsia="Times New Roman" w:hAnsi="Times New Roman"/>
          <w:sz w:val="18"/>
          <w:szCs w:val="18"/>
          <w:color w:val="auto"/>
        </w:rPr>
      </w:pPr>
    </w:p>
    <w:p>
      <w:pPr>
        <w:ind w:left="-1120" w:firstLine="1952"/>
        <w:spacing w:after="0" w:line="282" w:lineRule="auto"/>
        <w:tabs>
          <w:tab w:leader="none" w:pos="108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Eligibility Number Reset</w:t>
      </w:r>
      <w:r>
        <w:rPr>
          <w:rFonts w:ascii="Times New Roman" w:cs="Times New Roman" w:eastAsia="Times New Roman" w:hAnsi="Times New Roman"/>
          <w:sz w:val="18"/>
          <w:szCs w:val="18"/>
          <w:color w:val="auto"/>
        </w:rPr>
        <w:t>. The Maximum Eligibility Number shall be increased (but not decreased) at any time following a decrease to the Reset Price to equal the Reset Share Amount.</w:t>
      </w:r>
    </w:p>
    <w:p>
      <w:pPr>
        <w:spacing w:after="0" w:line="158" w:lineRule="exact"/>
        <w:rPr>
          <w:sz w:val="20"/>
          <w:szCs w:val="20"/>
          <w:color w:val="auto"/>
        </w:rPr>
      </w:pPr>
    </w:p>
    <w:p>
      <w:pPr>
        <w:jc w:val="both"/>
        <w:ind w:left="-1120" w:firstLine="1952"/>
        <w:spacing w:after="0" w:line="256" w:lineRule="auto"/>
        <w:tabs>
          <w:tab w:leader="none" w:pos="10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hereof, </w:t>
      </w:r>
      <w:r>
        <w:rPr>
          <w:rFonts w:ascii="Times New Roman" w:cs="Times New Roman" w:eastAsia="Times New Roman" w:hAnsi="Times New Roman"/>
          <w:sz w:val="18"/>
          <w:szCs w:val="18"/>
          <w:b w:val="1"/>
          <w:bCs w:val="1"/>
          <w:i w:val="1"/>
          <w:iCs w:val="1"/>
          <w:color w:val="auto"/>
        </w:rPr>
        <w:t>“Reset Price”</w:t>
      </w:r>
      <w:r>
        <w:rPr>
          <w:rFonts w:ascii="Times New Roman" w:cs="Times New Roman" w:eastAsia="Times New Roman" w:hAnsi="Times New Roman"/>
          <w:sz w:val="18"/>
          <w:szCs w:val="18"/>
          <w:color w:val="auto"/>
        </w:rPr>
        <w:t xml:space="preserve"> means the then lowest arithmetic average of the daily Weighted Average Price during any five (5) consecutive Trading Day period (or shorter period if this Warrant is exercised prior to the fifth (5th) Trading Day after Issuance Date) during the Reset Period; provided, however that the Reset Price shall not be less than the Floor Price (subject to adjustment for reverse and forward stock splits, recapitalizations and similar transactions following the date of the Underwriting Agreement). Notwithstanding the foregoing, if the Reset Price would be reduced but for the limitation in clause (i) of the definition of Floor Price, once the Stockholder Approval is obtained, the Reset Price will automatically be reduced to equal the lowest such price with respect to any five-Trading Day period that occurred prior to the Stockholder Approval being obtained, subject only to the limitation in clause (ii) of the definition of Floor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82" w:name="page83"/>
    <w:bookmarkEnd w:id="82"/>
    <w:p>
      <w:pPr>
        <w:jc w:val="both"/>
        <w:ind w:left="-8" w:firstLine="2600"/>
        <w:spacing w:after="0" w:line="254" w:lineRule="auto"/>
        <w:tabs>
          <w:tab w:leader="none" w:pos="286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hereof, </w:t>
      </w:r>
      <w:r>
        <w:rPr>
          <w:rFonts w:ascii="Times New Roman" w:cs="Times New Roman" w:eastAsia="Times New Roman" w:hAnsi="Times New Roman"/>
          <w:sz w:val="18"/>
          <w:szCs w:val="18"/>
          <w:b w:val="1"/>
          <w:bCs w:val="1"/>
          <w:i w:val="1"/>
          <w:iCs w:val="1"/>
          <w:color w:val="auto"/>
        </w:rPr>
        <w:t>“Reset Share Amount”</w:t>
      </w:r>
      <w:r>
        <w:rPr>
          <w:rFonts w:ascii="Times New Roman" w:cs="Times New Roman" w:eastAsia="Times New Roman" w:hAnsi="Times New Roman"/>
          <w:sz w:val="18"/>
          <w:szCs w:val="18"/>
          <w:color w:val="auto"/>
        </w:rPr>
        <w:t xml:space="preserve"> means the number of Common Shares equal to the number (if positive) obtained by subtracting (I) the sum of (x) the number of Common Shares purchased by the Holder on the Closing Date (as adjusted for stock splits, stock dividends, recapitalizations, reorganizations, reclassification, combinations, reverse stock splits or other similar events occurring after the Issuance Date) and (y) the number of Common Shares issuable upon exercise in full of any Pre-funded Warrants (without regard to any limitation on exercise contained therein) purchased by the Holder on the Closing Date (as adjusted for stock splits, stock dividends, recapitalizations, reorganizations, reclassification, combinations, reverse stock splits or other similar events occurring after the Issuance Date), from (II) the quotient determined by dividing</w:t>
      </w:r>
    </w:p>
    <w:p>
      <w:pPr>
        <w:spacing w:after="0" w:line="3" w:lineRule="exact"/>
        <w:rPr>
          <w:rFonts w:ascii="Times New Roman" w:cs="Times New Roman" w:eastAsia="Times New Roman" w:hAnsi="Times New Roman"/>
          <w:sz w:val="18"/>
          <w:szCs w:val="18"/>
          <w:color w:val="auto"/>
        </w:rPr>
      </w:pPr>
    </w:p>
    <w:p>
      <w:pPr>
        <w:ind w:left="-8" w:firstLine="8"/>
        <w:spacing w:after="0" w:line="260" w:lineRule="auto"/>
        <w:tabs>
          <w:tab w:leader="none" w:pos="2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aggregate Purchase Price paid by the Holder on the Closing Date and (ii) the aggregate of all exercise prices paid or payable by the Holder upon exercise in full of the Pre-Funded Warrants, by (y) the applicable Reset Price at the time of exercise.</w:t>
      </w:r>
    </w:p>
    <w:p>
      <w:pPr>
        <w:spacing w:after="0" w:line="181" w:lineRule="exact"/>
        <w:rPr>
          <w:rFonts w:ascii="Times New Roman" w:cs="Times New Roman" w:eastAsia="Times New Roman" w:hAnsi="Times New Roman"/>
          <w:sz w:val="18"/>
          <w:szCs w:val="18"/>
          <w:color w:val="auto"/>
        </w:rPr>
      </w:pPr>
    </w:p>
    <w:p>
      <w:pPr>
        <w:jc w:val="both"/>
        <w:ind w:left="-8" w:firstLine="2600"/>
        <w:spacing w:after="0" w:line="256" w:lineRule="auto"/>
        <w:tabs>
          <w:tab w:leader="none" w:pos="290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 Holder requests to exercise this Warrant in whole or in part, solely with respect to such portion of this Warrant being exercised on such applicable date (the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(a) such applicable Reset Period shall be deemed to have ended on the Trading Day immediately prior to the Exercise Date, and (b) the applicable Reset Price and Reset Share Amount for such exercised Warrants shall be calculated pursuant to this Section 2(a). For the avoidance of doubt, following the calculation of the Reset Price and Reset Share Amount pursuant to this Section 2(a)(i), the Company’s obligations with regard to such exercised Warrants shall be deemed satisfied and no additional Reset Price and Reset Share Amount shall apply to such exercised Warrants.</w:t>
      </w:r>
    </w:p>
    <w:p>
      <w:pPr>
        <w:spacing w:after="0" w:line="187" w:lineRule="exact"/>
        <w:rPr>
          <w:rFonts w:ascii="Times New Roman" w:cs="Times New Roman" w:eastAsia="Times New Roman" w:hAnsi="Times New Roman"/>
          <w:sz w:val="18"/>
          <w:szCs w:val="18"/>
          <w:color w:val="auto"/>
        </w:rPr>
      </w:pPr>
    </w:p>
    <w:p>
      <w:pPr>
        <w:jc w:val="both"/>
        <w:ind w:left="-8" w:firstLine="1952"/>
        <w:spacing w:after="0" w:line="255" w:lineRule="auto"/>
        <w:tabs>
          <w:tab w:leader="none" w:pos="21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Subdivision or Combination of Common Shares</w:t>
      </w:r>
      <w:r>
        <w:rPr>
          <w:rFonts w:ascii="Times New Roman" w:cs="Times New Roman" w:eastAsia="Times New Roman" w:hAnsi="Times New Roman"/>
          <w:sz w:val="18"/>
          <w:szCs w:val="18"/>
          <w:color w:val="auto"/>
        </w:rPr>
        <w:t>. If the Company at any time on or after the Issuance Date subdivides (by any stock split, stock dividend, recapitalization or otherwise) one or more classes of its outstanding Common Shares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Common Shares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188" w:lineRule="exact"/>
        <w:rPr>
          <w:rFonts w:ascii="Times New Roman" w:cs="Times New Roman" w:eastAsia="Times New Roman" w:hAnsi="Times New Roman"/>
          <w:sz w:val="18"/>
          <w:szCs w:val="18"/>
          <w:color w:val="auto"/>
        </w:rPr>
      </w:pPr>
    </w:p>
    <w:p>
      <w:pPr>
        <w:jc w:val="both"/>
        <w:ind w:left="-8" w:firstLine="1952"/>
        <w:spacing w:after="0" w:line="252" w:lineRule="auto"/>
        <w:tabs>
          <w:tab w:leader="none" w:pos="21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shall hold a special meeting of stockholders (which may also be at the annual meeting of stockholders) at the earliest practicable date after the date hereof, but in no event later than sixty (60) days after the Closing Date for the purpose of obtaining Stockholder Approval,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Within twenty (20) Business Days following the Closing Date, the Company shall file with the SEC a preliminary proxy statement for the purpose of obtaining Stockholder Approval, and the Company shall use its best efforts to obtain such Stockholder Approval. In the event Stockholder Approval (or board approval in lieu thereof following six (6) months after the Closing Date) does not occur, the Company will be required to hold additional meetings at least once every sixty (60) days until the earlier of the date Stockholder Approval is obtained or the Warrants are no longer outstanding, with printed and mailed proxy statements sent to stockholders for such meetings. Notwithstanding the foregoing, the Company may, in lieu of holding a special meeting of stockholders as aforesaid, obtain the written consent of a majority of its stockholders covering the Stockholder Approval so long as prior to sixty (60) days after the Closing Date, such written consents are obtained and in accordance with Exchange Act Rule 14c-2 at least twenty (20) days shall have transpired from the date on which a written information statement containing the information specified in Schedule 14C detailing such Stockholder Approval shall have been filed with the SEC and delivered to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83" w:name="page84"/>
    <w:bookmarkEnd w:id="83"/>
    <w:p>
      <w:pPr>
        <w:jc w:val="both"/>
        <w:ind w:left="-1120" w:firstLine="1304"/>
        <w:spacing w:after="0" w:line="252" w:lineRule="auto"/>
        <w:tabs>
          <w:tab w:leader="none" w:pos="3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xml:space="preserve">. If the Company shall declare or make any dividend or other distribution of its assets (or rights to acquire its assets) to holders of Common Shares,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Common Shares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rFonts w:ascii="Times New Roman" w:cs="Times New Roman" w:eastAsia="Times New Roman" w:hAnsi="Times New Roman"/>
          <w:sz w:val="18"/>
          <w:szCs w:val="18"/>
          <w:color w:val="auto"/>
        </w:rPr>
      </w:pPr>
    </w:p>
    <w:p>
      <w:pPr>
        <w:ind w:left="360" w:hanging="176"/>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0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In addition to any adjustments pursuant to Section 2 above, if at any time the Company grants, issues or sells any Options, Convertible Securities or rights to purchase stock, warrants, securities or other property pro rata to the record holders of any class of Common Shares (the </w:t>
      </w:r>
      <w:r>
        <w:rPr>
          <w:rFonts w:ascii="Times New Roman" w:cs="Times New Roman" w:eastAsia="Times New Roman" w:hAnsi="Times New Roman"/>
          <w:sz w:val="18"/>
          <w:szCs w:val="18"/>
          <w:b w:val="1"/>
          <w:bCs w:val="1"/>
          <w:i w:val="1"/>
          <w:i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Shares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413385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85" w:right="339" w:bottom="1440" w:gutter="0" w:footer="0" w:header="0"/>
        </w:sectPr>
      </w:pPr>
    </w:p>
    <w:bookmarkStart w:id="84" w:name="page85"/>
    <w:bookmarkEnd w:id="84"/>
    <w:p>
      <w:pPr>
        <w:jc w:val="both"/>
        <w:ind w:left="-1120" w:firstLine="1952"/>
        <w:spacing w:after="0" w:line="265" w:lineRule="auto"/>
        <w:tabs>
          <w:tab w:leader="none" w:pos="111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xml:space="preserve">. The Company shall not enter into a Fundamental Transaction unless the Successor Entity assumes in writing all of the obligations of the Company under this Warrant and the Underwriting Agreement in accordance with the provisions of this Section 4(b) pursuant to written agreements in form and substance satisfactory to the Required Holders, including agreements, if so requested by the Holder, to deliver to each holder of the Series B Warrants in exchange for such Series B Warrants a security of the Successor Entity evidenced by a written instrument substantially similar in form and substance to this Warrant, including, without limitation, an adjusted exercise price equal to the value for the Common Shares reflected by the terms of such Fundamental Transaction, and exercisable for a corresponding number of shares of capital stock equivalent to the Common Shares acquirable and receivable upon exercise of this Warrant (without regard to any limitations on the exercise of this Warrant) prior to such Fundamental Transaction, and satisfactory to the Required Holders, and with an exercise price which applies the exercise price hereunder to such shares of capital stock (but taking into account the relative value of the Common Shares pursuant to such Fundamental Transaction and the value of such shares of capital stock, such adjustments to the number of shares of capital stock and such exercise price being for the purpose of protecting the economic value of this Warrant immediately prior to the occurrence or consummation of such Fundamental Transaction). Any security issuable or potentially issuable to the Holder pursuant to the terms of this Warrant on the consummation of a Fundamental Transaction that was within the Company’s control to enter into or to avoid shall be registered and freely tradable by the Holder without any restriction or limitation or the requirement to be subject to any holding period pursuant to any applicable securities laws. No later than (i) thirty (30) days prior to the occurrence or consummation of any Fundamental Transaction or (ii) if later, the first Trading Day following the date the Company first becomes aware of the occurrence or potential occurrence of a Fundamental Transaction, the Company shall deliver written notice thereof via facsimile or electronic mail and overnight courier to the Holder. Upon the occurrence or consummation of any Fundamental Transaction that was within the Company’s control to enter into or to avoid, it shall be a required condition to the occurrence or consummation of any such Fundamental Transaction that, the Company and the Successor Entity or Successor Entities, jointly and severally, shall succeed to, and the Company shall cause any Successor Entity or Successor Entities to jointly and severally succeed to, and be added to the term “Company” under this Warrant (so that from and after the date of such Fundamental Transaction, each and every provision of this Warrant referring to the “Company” shall refer instead to each of the Company and the Successor Entity or Successor Entities, jointly and severally), and the Company and the Successor Entity or Successor Entities, jointly and severally, may exercise every right and power of the Company prior thereto and shall assume all of the obligations of the Company prior thereto under this Warrant with the same effect as if the Company and such Successor Entity or Successor Entities, jointly and severally, had been named as the Company in this Warrant, and, solely at the request of the Holder, if the Successor Entity and/or Successor Entities is a publicly traded corporation whose common stock is quoted on or listed for trading on an Eligible Market, shall deliver (in addition to and without limiting any right under this Warrant) to the Holder in exchange for this Warrant a security of the Successor Entity and/or Successor Entities evidenced by a written instrument substantially similar in form and substance to this Warrant and exercisable for a corresponding number of shares of capital stock of the Successor Entity and/or Successor Entities (the </w:t>
      </w:r>
      <w:r>
        <w:rPr>
          <w:rFonts w:ascii="Times New Roman" w:cs="Times New Roman" w:eastAsia="Times New Roman" w:hAnsi="Times New Roman"/>
          <w:sz w:val="17"/>
          <w:szCs w:val="17"/>
          <w:b w:val="1"/>
          <w:bCs w:val="1"/>
          <w:i w:val="1"/>
          <w:iCs w:val="1"/>
          <w:color w:val="auto"/>
        </w:rPr>
        <w:t>“Successor Capital Stock”</w:t>
      </w:r>
      <w:r>
        <w:rPr>
          <w:rFonts w:ascii="Times New Roman" w:cs="Times New Roman" w:eastAsia="Times New Roman" w:hAnsi="Times New Roman"/>
          <w:sz w:val="17"/>
          <w:szCs w:val="17"/>
          <w:color w:val="auto"/>
        </w:rPr>
        <w:t>) equivalent to the Common Shares acquirable and receivable upon exercise of this Warrant (without regard to any limitations on the exercise of this Warrant) prior to such Fundamental Transaction (such corresponding number of shares of Successor Capital Stock to be delivered to the Holder shall be equal to the greater of (A) the quotient of (i) the aggregate dollar value of all consideration (including cash consideration and any consideration other than cash (</w:t>
      </w:r>
      <w:r>
        <w:rPr>
          <w:rFonts w:ascii="Times New Roman" w:cs="Times New Roman" w:eastAsia="Times New Roman" w:hAnsi="Times New Roman"/>
          <w:sz w:val="17"/>
          <w:szCs w:val="17"/>
          <w:b w:val="1"/>
          <w:bCs w:val="1"/>
          <w:i w:val="1"/>
          <w:iCs w:val="1"/>
          <w:color w:val="auto"/>
        </w:rPr>
        <w:t>“Non-Cash Consideration”</w:t>
      </w:r>
      <w:r>
        <w:rPr>
          <w:rFonts w:ascii="Times New Roman" w:cs="Times New Roman" w:eastAsia="Times New Roman" w:hAnsi="Times New Roman"/>
          <w:sz w:val="17"/>
          <w:szCs w:val="17"/>
          <w:color w:val="auto"/>
        </w:rPr>
        <w:t xml:space="preserve">), in such Fundamental Transaction, as such values are set forth in any definitive agreement for the Fundamental Transaction that has been executed at the time of the first public announcement of the Fundamental Transaction or, if no such value is determinable from such definitive agreement, as determined in accordance with Section 12 with the term “Non-Cash Consideration” being substituted for the term “Exercise Price”) that the Holder would have been entitled to receive upon the happening of such Fundamental Transaction or the record, eligibility or other determination date for the event resulting in such Fundamental Transaction, had this Warrant been exercised immediately prior to such Fundamental Transaction or the record, eligibility or other determination date for the event resulting in such Fundamental Transaction (without regard to any limitations on the exercise of this Warrant) (the </w:t>
      </w:r>
      <w:r>
        <w:rPr>
          <w:rFonts w:ascii="Times New Roman" w:cs="Times New Roman" w:eastAsia="Times New Roman" w:hAnsi="Times New Roman"/>
          <w:sz w:val="17"/>
          <w:szCs w:val="17"/>
          <w:b w:val="1"/>
          <w:bCs w:val="1"/>
          <w:i w:val="1"/>
          <w:iCs w:val="1"/>
          <w:color w:val="auto"/>
        </w:rPr>
        <w:t>“Aggregate Consideration”</w:t>
      </w:r>
      <w:r>
        <w:rPr>
          <w:rFonts w:ascii="Times New Roman" w:cs="Times New Roman" w:eastAsia="Times New Roman" w:hAnsi="Times New Roman"/>
          <w:sz w:val="17"/>
          <w:szCs w:val="17"/>
          <w:color w:val="auto"/>
        </w:rPr>
        <w:t>) divided by (ii) the per share Closing Sale Price of such Successor Capital Stock on the Trading Day immediately prior to the consummation or occurrence of the Fundamental Transaction and (B) the product of (i) the quotient obtained by dividing (x) the Aggregate Consideration, by (y) the Closing Sale Price of the Common Shares on the Trading Day immediately prior to the consummation or occurrence of the Fundamental Transaction and (ii) the highest exchange ratio pursuant to which any shareholder of the Company may exchange Common Shares for Successor Capital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to the extent that the Holder’s right to receive any such shares of publicly traded common stock (or their equivalent) of the Successor Entity would result in the Holder and its other Attribution Parties exceeding the Maximum Percentage, if applicable, then the Holder shall not be entitled to receive such shares to such extent (and shall not be entitled to beneficial ownership of such shares of publicly traded common stock (or their equivalent) of the Successor Entity as a result of such consideration to such extent) and the portion of such shares shall be held in abeyance for the Holder until such time or times, as its right thereto would not result in the Holder and its other Attribution Parties exceeding the Maximum Percentage, at which time or times the Holder shall be delivered such shares to the extent as if there had been no such limitation), and such security shall be satisfactory to the Holder, and with an identical exercise price to the Exercise Price hereunder (such adjustments to the number of shares of capital stock and such exercise price being for the purpose of protecting after the consummation or occurrence of such Fundamental Transaction the economic value of this Warrant that was in effect immediately prior to the consummation or occurrence of such Fundamental Transaction, as elected by the Holder solely at its option). Upon occurrence or consummation of the Fundamental Transaction that was within the Company’s control to enter into or to avoid, it shall be a required condition to the occurrence or consummation of such Fundamental Transaction that, the Company and the Successor Entity or Successor Entities shall deliver to the Holder confirmation that there shall be issued upon exercise of this Warrant at any time after the occurrence or consummation of the Fundamental Transaction, as elected by the Holder solely at its option, Common Shares, Successor Capital Stock or, in lieu of the Common Shares or Successor Capital Stock (or other securities, cash, assets or other property purchasable upon the exercise of this Warrant prior to such Fundamental Transaction), such shares of stock, securities, cash, assets or any other property whatsoever (including warrants or other purchase or subscription rights), which for purposes of clarification may continue to be Common Shares, if any, that the Holder would have been entitled to receive upon the happening of such Fundamental Transaction or the record, eligibility or other determination date for the event resulting in such Fundamental Transaction, had this Warrant been exercised immediately prior to such Fundamental Transaction or the record, eligibility or other determination date for the event resulting in such Fundamental Transaction (without regard to any limitations on the exercise of this Warrant), as adjusted in accordance with the provisions of this Warrant. In addition to and not in substitution for any other rights hereunder, prior to the occurrence or consummation of any Fundamental Transaction that was within the Company’s control to enter into or to avoid, pursuant to which holders of Common Shares are entitled to receive securities, cash, assets or other property with respect to or in exchange for Common Shares (a </w:t>
      </w:r>
      <w:r>
        <w:rPr>
          <w:rFonts w:ascii="Times New Roman" w:cs="Times New Roman" w:eastAsia="Times New Roman" w:hAnsi="Times New Roman"/>
          <w:sz w:val="17"/>
          <w:szCs w:val="17"/>
          <w:b w:val="1"/>
          <w:bCs w:val="1"/>
          <w:i w:val="1"/>
          <w:iCs w:val="1"/>
          <w:color w:val="auto"/>
        </w:rPr>
        <w:t>“Corporate Event”</w:t>
      </w:r>
      <w:r>
        <w:rPr>
          <w:rFonts w:ascii="Times New Roman" w:cs="Times New Roman" w:eastAsia="Times New Roman" w:hAnsi="Times New Roman"/>
          <w:sz w:val="17"/>
          <w:szCs w:val="17"/>
          <w:color w:val="auto"/>
        </w:rPr>
        <w:t>), the Company shall make appropriate provision to ensure that, and any applicable Successor Entity or Successor Entities shall ensure that, and it shall be a required condition to the occurrence or consummation of such Corporate Event that, the Holder will thereafter have the right to receive upon exercise of this Warrant at any time after the occurrence or consummation of the Corporate Event, Common Shares or Successor Capital Stock or, if so elected by the Holder, in lieu of the Common Shares (or other securities, cash, assets or other property) purchasable upon the exercise of this Warrant prior to such Corporate Event (but not in lieu of such items still issuable under Sections 3 and 4(a), which shall continue to be receivable on the Common Shares or on the such shares of stock, securities, cash, assets or any other property otherwise receivable with respect to or in exchange for Common Shares), such shares of stock, securities, cash, assets or any other property whatsoever (including warrants or other purchase or subscription rights and any Common Shares) which the Holder would have been entitled to receive upon the occurrence or consummation of such Corporate Event or the record, eligibility or other determination date for the event resulting in such Corporate Event, had this Warrant been exercised immediately prior to such Corporate Event or the record, eligibility or other determination date for the event resulting in such Corporate Event (without regard to any limitations on exercise of this Warrant). Provision made pursuant to the preceding sentence shall be in a form and substance reasonably</w:t>
      </w:r>
    </w:p>
    <w:p>
      <w:pPr>
        <w:sectPr>
          <w:pgSz w:w="11900" w:h="16838" w:orient="portrait"/>
          <w:cols w:equalWidth="0" w:num="1">
            <w:col w:w="10120"/>
          </w:cols>
          <w:pgMar w:left="1440" w:top="553" w:right="339" w:bottom="827"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satisfactory to the Holder. The provisions of this Section 4(b) shall apply similarly and equally to successive Fundamental Transactions and Corporate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both"/>
        <w:ind w:left="-1120" w:firstLine="1304"/>
        <w:spacing w:after="0" w:line="253" w:lineRule="auto"/>
        <w:tabs>
          <w:tab w:leader="none" w:pos="3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Articles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Common Shares receivable upon the exercise of this Warrant above the Exercise Price then in effect, (ii) shall take all such actions as may be necessary or appropriate in order that the Company may validly and legally issue fully paid and nonassessable Common Shares upon the exercise of this Warrant, and (iii) shall, so long as any of the Series B Warrants are outstanding, take all action necessary to reserve and keep available out of its authorized and unissued Common Shares, solely for the purpose of effecting the exercise of the Series B Warrants, 100% of the number of Common Shares as shall from time to time be necessary to effect the exercise of the Series B Warrants then outstanding (without regard to any limitations on exercise and assuming that the Maximum Eligibility Number is being determined based on a Reset Price equal to $0.05206 (as adjusted for stock splits, stock dividends, recapitalizations, reorganizations, reclassification, combinations, reverse stock splits or other similar events occurring after the Issuance Date)).</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spacing w:after="0" w:line="194" w:lineRule="exact"/>
        <w:rPr>
          <w:rFonts w:ascii="Times New Roman" w:cs="Times New Roman" w:eastAsia="Times New Roman" w:hAnsi="Times New Roman"/>
          <w:sz w:val="18"/>
          <w:szCs w:val="18"/>
          <w:color w:val="auto"/>
        </w:rPr>
      </w:pPr>
    </w:p>
    <w:p>
      <w:pPr>
        <w:ind w:left="360" w:hanging="176"/>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8" w:lineRule="auto"/>
        <w:tabs>
          <w:tab w:leader="none" w:pos="10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are being transferred, a new Warrant (in accordance with Section 7(d)) registered to the Holder representing the right to purchase the number of Warrant Shares not being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87" w:name="page88"/>
    <w:bookmarkEnd w:id="87"/>
    <w:p>
      <w:pPr>
        <w:jc w:val="both"/>
        <w:ind w:left="-8" w:firstLine="1952"/>
        <w:spacing w:after="0" w:line="261" w:lineRule="auto"/>
        <w:tabs>
          <w:tab w:leader="none" w:pos="2191"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9"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1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Series B Warrants for fractional Warrant Shares shall be given.</w:t>
      </w:r>
    </w:p>
    <w:p>
      <w:pPr>
        <w:spacing w:after="0" w:line="179" w:lineRule="exact"/>
        <w:rPr>
          <w:rFonts w:ascii="Times New Roman" w:cs="Times New Roman" w:eastAsia="Times New Roman" w:hAnsi="Times New Roman"/>
          <w:sz w:val="18"/>
          <w:szCs w:val="18"/>
          <w:color w:val="auto"/>
        </w:rPr>
      </w:pPr>
    </w:p>
    <w:p>
      <w:pPr>
        <w:jc w:val="both"/>
        <w:ind w:left="-8" w:firstLine="1952"/>
        <w:spacing w:after="0" w:line="256" w:lineRule="auto"/>
        <w:tabs>
          <w:tab w:leader="none" w:pos="2191"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Common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4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14 of the Underwriting Agreement. The Company shall provide the Holder (at an address provided by the Holder to the Company)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fifteen (15) days prior to the date on which the Company closes its books or takes a record (A) with respect to any dividend or distribution upon the Common Shares, (B) with respect to any grants, issuances or sales of any Options, Convertible Securities or rights to purchase stock, warrants, securities or other property to holders of Common Shares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determining rights to vote with respect to any Fundamental Transaction, dissolution or liquidation;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such information shall be made known to the public prior to or in conjunction with such notice being provided to the Holder. It is expressly understood and agreed that the time of exercise specified by the Holder in each Exercise Notice shall be definitive and may not be disputed or challenged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88" w:name="page89"/>
    <w:bookmarkEnd w:id="88"/>
    <w:p>
      <w:pPr>
        <w:jc w:val="both"/>
        <w:ind w:right="20" w:firstLine="1304"/>
        <w:spacing w:after="0" w:line="266" w:lineRule="auto"/>
        <w:tabs>
          <w:tab w:leader="none" w:pos="14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 JURY TRIAL</w:t>
      </w:r>
      <w:r>
        <w:rPr>
          <w:rFonts w:ascii="Times New Roman" w:cs="Times New Roman" w:eastAsia="Times New Roman" w:hAnsi="Times New Roman"/>
          <w:sz w:val="17"/>
          <w:szCs w:val="17"/>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14 of the Underwriting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7"/>
          <w:szCs w:val="17"/>
          <w:b w:val="1"/>
          <w:bCs w:val="1"/>
          <w:color w:val="auto"/>
        </w:rPr>
        <w:t>THE COMPANY HEREBY IRREVOCABLY WAIVES ANY RIGHT IT MAY HAVE, AND AGREES NOT TO REQUEST, A</w:t>
      </w:r>
    </w:p>
    <w:p>
      <w:pPr>
        <w:spacing w:after="0" w:line="9"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JURY TRIAL FOR THE ADJUDICATION OF ANY DISPUTE HEREUNDER OR IN CONNECTION WITH OR ARISING OUT OF THIS WARRANT OR ANY TRANSACTION CONTEMPLATED HEREBY.</w:t>
      </w:r>
    </w:p>
    <w:p>
      <w:pPr>
        <w:spacing w:after="0" w:line="181" w:lineRule="exact"/>
        <w:rPr>
          <w:rFonts w:ascii="Times New Roman" w:cs="Times New Roman" w:eastAsia="Times New Roman" w:hAnsi="Times New Roman"/>
          <w:sz w:val="17"/>
          <w:szCs w:val="17"/>
          <w:color w:val="auto"/>
        </w:rPr>
      </w:pPr>
    </w:p>
    <w:p>
      <w:pPr>
        <w:jc w:val="both"/>
        <w:ind w:firstLine="1304"/>
        <w:spacing w:after="0" w:line="266" w:lineRule="auto"/>
        <w:tabs>
          <w:tab w:leader="none" w:pos="15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all the Buyers and shall not be construed against any Person as the drafter hereof. The headings of this Warrant are for convenience of reference and shall not form part of, or affect the interpretation of, this Warrant.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jc w:val="both"/>
        <w:ind w:left="-1120" w:firstLine="1304"/>
        <w:spacing w:after="0" w:line="255" w:lineRule="auto"/>
        <w:tabs>
          <w:tab w:leader="none" w:pos="4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88" w:lineRule="exact"/>
        <w:rPr>
          <w:rFonts w:ascii="Times New Roman" w:cs="Times New Roman" w:eastAsia="Times New Roman" w:hAnsi="Times New Roman"/>
          <w:sz w:val="18"/>
          <w:szCs w:val="18"/>
          <w:color w:val="auto"/>
        </w:rPr>
      </w:pPr>
    </w:p>
    <w:p>
      <w:pPr>
        <w:ind w:left="-1120" w:firstLine="1304"/>
        <w:spacing w:after="0" w:line="282" w:lineRule="auto"/>
        <w:tabs>
          <w:tab w:leader="none" w:pos="4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and the Warrant Shares may be offered for sale, sold, transferred, pledged or assigned without the consent of the Company, except as may otherwise be required by the terms of the Underwriting Agreement.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(as defined in the Underwriting Agreement), the Company shall, promptly following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promptly following the delivery of such notice, and in the absence of any such indication, the Holder shall be allowed to presume that all matters relating to such notice do not constitute material, nonpublic information relating to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90" w:name="page91"/>
    <w:bookmarkEnd w:id="90"/>
    <w:p>
      <w:pPr>
        <w:ind w:left="460" w:hanging="276"/>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“1933 Act” </w:t>
      </w:r>
      <w:r>
        <w:rPr>
          <w:rFonts w:ascii="Times New Roman" w:cs="Times New Roman" w:eastAsia="Times New Roman" w:hAnsi="Times New Roman"/>
          <w:sz w:val="18"/>
          <w:szCs w:val="18"/>
          <w:color w:val="auto"/>
        </w:rPr>
        <w:t>means the Securities Act of 1933, as amended.</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shall have the meaning ascribed to such term in Rule 405 of the 1933 Act.</w:t>
      </w:r>
    </w:p>
    <w:p>
      <w:pPr>
        <w:spacing w:after="0" w:line="229"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left="-1120" w:firstLine="1952"/>
        <w:spacing w:after="0" w:line="257" w:lineRule="auto"/>
        <w:tabs>
          <w:tab w:leader="none" w:pos="109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“Attribution Parties” </w:t>
      </w:r>
      <w:r>
        <w:rPr>
          <w:rFonts w:ascii="Times New Roman" w:cs="Times New Roman" w:eastAsia="Times New Roman" w:hAnsi="Times New Roman"/>
          <w:sz w:val="18"/>
          <w:szCs w:val="18"/>
          <w:color w:val="auto"/>
        </w:rPr>
        <w:t>means, collectively, the following Persons: (i) any investment vehicle, including, any funds, feeder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Common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0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“Black Scholes Value” </w:t>
      </w:r>
      <w:r>
        <w:rPr>
          <w:rFonts w:ascii="Times New Roman" w:cs="Times New Roman" w:eastAsia="Times New Roman" w:hAnsi="Times New Roman"/>
          <w:sz w:val="18"/>
          <w:szCs w:val="18"/>
          <w:color w:val="auto"/>
        </w:rPr>
        <w:t>means the value of this Warrant calculated using the Black-Scholes Option Pricing Model obtained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Trading Day immediately following the public announcement of the applicable Fundamental Transaction, or, if the Fundamental Transaction is not publicly announced, the date the Fundamental Transaction is consummated, (iii) the underlying price per share used in such calculation shall be the greater of (x) the highest Weighted Average Price of the Common Shares during the period beginning on the Trading Day prior to the execution of definitive documentation relating to the applicable Fundamental Transaction and ending on (A) the Trading Day immediately following the public announcement of such Fundamental Transaction, if the applicable Fundamental Transaction is publicly announced or (B) the Trading Day immediately following the consummation of the applicable Fundamental Transaction if the applicable Fundamental Transaction is not publicly announced and (y) the sum of the price per share being offered in cash, if any, plus the value of any non-cash consideration, if any, being offered in the Fundamental Transaction, (iv) a zero cost of borrow and (v) a 360 day annualization factor.</w:t>
      </w:r>
    </w:p>
    <w:p>
      <w:pPr>
        <w:spacing w:after="0" w:line="187"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“Bloomberg” </w:t>
      </w:r>
      <w:r>
        <w:rPr>
          <w:rFonts w:ascii="Times New Roman" w:cs="Times New Roman" w:eastAsia="Times New Roman" w:hAnsi="Times New Roman"/>
          <w:sz w:val="18"/>
          <w:szCs w:val="18"/>
          <w:color w:val="auto"/>
        </w:rPr>
        <w:t>means Bloomberg Financial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91" w:name="page92"/>
    <w:bookmarkEnd w:id="91"/>
    <w:p>
      <w:pPr>
        <w:ind w:left="-1120" w:firstLine="1952"/>
        <w:spacing w:after="0" w:line="286" w:lineRule="auto"/>
        <w:tabs>
          <w:tab w:leader="none" w:pos="10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Day” </w:t>
      </w:r>
      <w:r>
        <w:rPr>
          <w:rFonts w:ascii="Times New Roman" w:cs="Times New Roman" w:eastAsia="Times New Roman" w:hAnsi="Times New Roman"/>
          <w:sz w:val="18"/>
          <w:szCs w:val="18"/>
          <w:color w:val="auto"/>
        </w:rPr>
        <w:t>means any day other than Saturday, Sunday or other day on which commercial banks in The City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0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“Closing Bid Price”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“Closing Sale Price” </w:t>
      </w:r>
      <w:r>
        <w:rPr>
          <w:rFonts w:ascii="Times New Roman" w:cs="Times New Roman" w:eastAsia="Times New Roman" w:hAnsi="Times New Roman"/>
          <w:sz w:val="18"/>
          <w:szCs w:val="18"/>
          <w:color w:val="auto"/>
        </w:rPr>
        <w:t>means, for any security as of any date, the last closing bid price and last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on the OTC Link or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“Closing Date” </w:t>
      </w:r>
      <w:r>
        <w:rPr>
          <w:rFonts w:ascii="Times New Roman" w:cs="Times New Roman" w:eastAsia="Times New Roman" w:hAnsi="Times New Roman"/>
          <w:sz w:val="18"/>
          <w:szCs w:val="18"/>
          <w:color w:val="auto"/>
        </w:rPr>
        <w:t>shall have the meaning ascribed to such term in the Underwriting Agreement.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68" w:lineRule="auto"/>
        <w:tabs>
          <w:tab w:leader="none" w:pos="10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Shares” </w:t>
      </w:r>
      <w:r>
        <w:rPr>
          <w:rFonts w:ascii="Times New Roman" w:cs="Times New Roman" w:eastAsia="Times New Roman" w:hAnsi="Times New Roman"/>
          <w:sz w:val="18"/>
          <w:szCs w:val="18"/>
          <w:color w:val="auto"/>
        </w:rPr>
        <w:t>means (i) the Company’s shares of Common Stock, par value $0.001 per share, and (ii) any share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which such Common Shares shall have been changed or any share capital resulting from a reclassification, reorganization or reclassification of such Common Shares.</w:t>
      </w:r>
    </w:p>
    <w:p>
      <w:pPr>
        <w:spacing w:after="0" w:line="170" w:lineRule="exact"/>
        <w:rPr>
          <w:rFonts w:ascii="Times New Roman" w:cs="Times New Roman" w:eastAsia="Times New Roman" w:hAnsi="Times New Roman"/>
          <w:sz w:val="18"/>
          <w:szCs w:val="18"/>
          <w:color w:val="auto"/>
        </w:rPr>
      </w:pPr>
    </w:p>
    <w:p>
      <w:pPr>
        <w:ind w:left="-1120" w:firstLine="1952"/>
        <w:spacing w:after="0" w:line="286" w:lineRule="auto"/>
        <w:tabs>
          <w:tab w:leader="none" w:pos="11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“Convertible Securities” </w:t>
      </w:r>
      <w:r>
        <w:rPr>
          <w:rFonts w:ascii="Times New Roman" w:cs="Times New Roman" w:eastAsia="Times New Roman" w:hAnsi="Times New Roman"/>
          <w:sz w:val="18"/>
          <w:szCs w:val="18"/>
          <w:color w:val="auto"/>
        </w:rPr>
        <w:t>means any stock or securities (other than Options) directly or indirectly convertible into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exercisable or exchangeable for Common Shares.</w:t>
      </w:r>
    </w:p>
    <w:p>
      <w:pPr>
        <w:spacing w:after="0" w:line="370" w:lineRule="exact"/>
        <w:rPr>
          <w:rFonts w:ascii="Times New Roman" w:cs="Times New Roman" w:eastAsia="Times New Roman" w:hAnsi="Times New Roman"/>
          <w:sz w:val="18"/>
          <w:szCs w:val="18"/>
          <w:color w:val="auto"/>
        </w:rPr>
      </w:pPr>
    </w:p>
    <w:p>
      <w:pPr>
        <w:ind w:left="-1120" w:right="20" w:firstLine="1952"/>
        <w:spacing w:after="0" w:line="286" w:lineRule="auto"/>
        <w:tabs>
          <w:tab w:leader="none" w:pos="10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“Eligible Market” </w:t>
      </w:r>
      <w:r>
        <w:rPr>
          <w:rFonts w:ascii="Times New Roman" w:cs="Times New Roman" w:eastAsia="Times New Roman" w:hAnsi="Times New Roman"/>
          <w:sz w:val="18"/>
          <w:szCs w:val="18"/>
          <w:color w:val="auto"/>
        </w:rPr>
        <w:t>means the Principal Market, the NYSE American, The Nasdaq Global Select Market, The Nasdaq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The New York Stock Exchange, Inc., the OTC QB or the OTC QX.</w:t>
      </w:r>
    </w:p>
    <w:p>
      <w:pPr>
        <w:spacing w:after="0" w:line="158"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92" w:name="page93"/>
    <w:bookmarkEnd w:id="92"/>
    <w:p>
      <w:pPr>
        <w:ind w:left="2200" w:hanging="248"/>
        <w:spacing w:after="0"/>
        <w:tabs>
          <w:tab w:leader="none" w:pos="2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952"/>
        <w:spacing w:after="0" w:line="259" w:lineRule="auto"/>
        <w:tabs>
          <w:tab w:leader="none" w:pos="21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“Floor Price” </w:t>
      </w:r>
      <w:r>
        <w:rPr>
          <w:rFonts w:ascii="Times New Roman" w:cs="Times New Roman" w:eastAsia="Times New Roman" w:hAnsi="Times New Roman"/>
          <w:sz w:val="18"/>
          <w:szCs w:val="18"/>
          <w:color w:val="auto"/>
        </w:rPr>
        <w:t>means (i) prior to Stockholder Approval, a price equal to fifty percent (50%) of the Nasdaq Minimum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pricing on the Issuance Date, as defined in Nasdaq Listing Rule 5635(d)(1)(A) (which price shall be appropriately adjusted for any stock dividend, stock split, stock combination, reclassification or similar transaction), or (ii) following Stockholder Approval, a price equal to twenty percent (20%) of the Nasdaq Minimum Price prior to pricing on the Issuance Date, as defined in Nasdaq Listing Rule 5635(d)(1)(A) (which price shall be appropriately adjusted for any stock dividend, stock split, stock combination, reclassification or similar transaction).</w:t>
      </w:r>
    </w:p>
    <w:p>
      <w:pPr>
        <w:spacing w:after="0" w:line="183"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“Fundamental Transaction” </w:t>
      </w:r>
      <w:r>
        <w:rPr>
          <w:rFonts w:ascii="Times New Roman" w:cs="Times New Roman" w:eastAsia="Times New Roman" w:hAnsi="Times New Roman"/>
          <w:sz w:val="18"/>
          <w:szCs w:val="18"/>
          <w:color w:val="auto"/>
        </w:rPr>
        <w:t>means that the Company shall, directly or indirectly, including through Subsidiaries,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Shares be subject to or party to one or more Subject Entities making, a purchase, tender or exchange offer that is accepted by the holders of more than either (x) 50% of the outstanding Common Shares, (y) 50% of the outstanding Common Shares calculated as if any Common Shares held by all Subject Entities making or party to, or Affiliated with any Subject Entities making or party to, such purchase, tender or exchange offer were not outstanding; or (z) such number of Common Shares such that all Subject Entities making or party to, or Affiliated with any Subject Entity making or party to, such purchase, tender or exchange offer, become collectively the beneficial owners (as defined in Rule 13d-3 under the 1934 Act) of more than 50% of the outstanding Common Shares, or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more than 50% of the outstanding Common Shares, (y) more than 50% of the outstanding Common Shares calculated as if any Common Shares held by all the Subject Entities making or party to, or Affiliated with any Subject Entity making or party to, such stock purchase agreement or other business combination were not outstanding; or (z) such number of Common Shares such that the Subject Entities become collectively the beneficial owners (as defined in Rule 13d-3 under the 1934 Act) of more than 50% of the outstanding Common Shares, or (v) reorganize, recapitalize or reclassify its Common Shares.</w:t>
      </w:r>
    </w:p>
    <w:p>
      <w:pPr>
        <w:spacing w:after="0" w:line="194"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“Group” </w:t>
      </w:r>
      <w:r>
        <w:rPr>
          <w:rFonts w:ascii="Times New Roman" w:cs="Times New Roman" w:eastAsia="Times New Roman" w:hAnsi="Times New Roman"/>
          <w:sz w:val="18"/>
          <w:szCs w:val="18"/>
          <w:color w:val="auto"/>
        </w:rPr>
        <w:t>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“Maximum Eligibility Number” </w:t>
      </w:r>
      <w:r>
        <w:rPr>
          <w:rFonts w:ascii="Times New Roman" w:cs="Times New Roman" w:eastAsia="Times New Roman" w:hAnsi="Times New Roman"/>
          <w:sz w:val="18"/>
          <w:szCs w:val="18"/>
          <w:color w:val="auto"/>
        </w:rPr>
        <w:t>means initially zero (0) and such number shall be increased (but not decreased) in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 2(a).</w:t>
      </w:r>
    </w:p>
    <w:p>
      <w:pPr>
        <w:spacing w:after="0" w:line="206"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ind w:left="1960"/>
        <w:spacing w:after="0"/>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xml:space="preserve"> means any rights, warrants or options to subscribe for or purchase (i) Common Shares or (ii) Convertible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ind w:left="2200" w:hanging="248"/>
        <w:spacing w:after="0"/>
        <w:tabs>
          <w:tab w:leader="none" w:pos="2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“Parent Entity” </w:t>
      </w:r>
      <w:r>
        <w:rPr>
          <w:rFonts w:ascii="Times New Roman" w:cs="Times New Roman" w:eastAsia="Times New Roman" w:hAnsi="Times New Roman"/>
          <w:sz w:val="18"/>
          <w:szCs w:val="18"/>
          <w:color w:val="auto"/>
        </w:rPr>
        <w:t>of a Person means an entity that, directly or indirectly, controls the applicable Person, including such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common capital or equivalent equity security is quoted or listed on an Eligible Market (or, if so elected by the Required Holders, any other market, exchange or quotation system), or, if there is more than one such Person or such entity, the Person or such entity designated by the Required Holders or in the absence of such designation, such Person or entity with the largest public market capitalization as of the date of consummation of the Fundamental Transaction.</w:t>
      </w:r>
    </w:p>
    <w:p>
      <w:pPr>
        <w:spacing w:after="0" w:line="179" w:lineRule="exact"/>
        <w:rPr>
          <w:rFonts w:ascii="Times New Roman" w:cs="Times New Roman" w:eastAsia="Times New Roman" w:hAnsi="Times New Roman"/>
          <w:sz w:val="18"/>
          <w:szCs w:val="18"/>
          <w:color w:val="auto"/>
        </w:rPr>
      </w:pPr>
    </w:p>
    <w:p>
      <w:pPr>
        <w:ind w:firstLine="1952"/>
        <w:spacing w:after="0" w:line="286" w:lineRule="auto"/>
        <w:tabs>
          <w:tab w:leader="none" w:pos="223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 individual, a limited liability company, a partnership, a joint venture, a corporation, a trust,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“Pre-funded Warrants” </w:t>
      </w:r>
      <w:r>
        <w:rPr>
          <w:rFonts w:ascii="Times New Roman" w:cs="Times New Roman" w:eastAsia="Times New Roman" w:hAnsi="Times New Roman"/>
          <w:sz w:val="18"/>
          <w:szCs w:val="18"/>
          <w:color w:val="auto"/>
        </w:rPr>
        <w:t>shall have the meaning ascribed to such term in the Underwriting Agreement.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“Principal Market” </w:t>
      </w:r>
      <w:r>
        <w:rPr>
          <w:rFonts w:ascii="Times New Roman" w:cs="Times New Roman" w:eastAsia="Times New Roman" w:hAnsi="Times New Roman"/>
          <w:sz w:val="18"/>
          <w:szCs w:val="18"/>
          <w:color w:val="auto"/>
        </w:rPr>
        <w:t>means The Nasdaq Capital Market.</w:t>
      </w:r>
    </w:p>
    <w:p>
      <w:pPr>
        <w:spacing w:after="0" w:line="229" w:lineRule="exact"/>
        <w:rPr>
          <w:sz w:val="20"/>
          <w:szCs w:val="20"/>
          <w:color w:val="auto"/>
        </w:rPr>
      </w:pPr>
    </w:p>
    <w:p>
      <w:pPr>
        <w:ind w:left="2280" w:hanging="328"/>
        <w:spacing w:after="0"/>
        <w:tabs>
          <w:tab w:leader="none" w:pos="2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color w:val="auto"/>
        </w:rPr>
        <w:t>shall have the meaning ascribed to such term in the Underwriting Agreement.</w:t>
      </w:r>
    </w:p>
    <w:p>
      <w:pPr>
        <w:spacing w:after="0" w:line="22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firstLine="1952"/>
        <w:spacing w:after="0" w:line="286" w:lineRule="auto"/>
        <w:tabs>
          <w:tab w:leader="none" w:pos="23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“Required Holders” </w:t>
      </w:r>
      <w:r>
        <w:rPr>
          <w:rFonts w:ascii="Times New Roman" w:cs="Times New Roman" w:eastAsia="Times New Roman" w:hAnsi="Times New Roman"/>
          <w:sz w:val="18"/>
          <w:szCs w:val="18"/>
          <w:color w:val="auto"/>
        </w:rPr>
        <w:t>means the holders of the Series B Warrants representing at least a majority of the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underlying the Series B Warrants then outstanding.</w:t>
      </w:r>
    </w:p>
    <w:p>
      <w:pPr>
        <w:spacing w:after="0" w:line="155" w:lineRule="exact"/>
        <w:rPr>
          <w:sz w:val="20"/>
          <w:szCs w:val="20"/>
          <w:color w:val="auto"/>
        </w:rPr>
      </w:pPr>
    </w:p>
    <w:p>
      <w:pPr>
        <w:ind w:right="20" w:firstLine="1952"/>
        <w:spacing w:after="0" w:line="286" w:lineRule="auto"/>
        <w:tabs>
          <w:tab w:leader="none" w:pos="22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“Reset Period” </w:t>
      </w:r>
      <w:r>
        <w:rPr>
          <w:rFonts w:ascii="Times New Roman" w:cs="Times New Roman" w:eastAsia="Times New Roman" w:hAnsi="Times New Roman"/>
          <w:sz w:val="18"/>
          <w:szCs w:val="18"/>
          <w:color w:val="auto"/>
        </w:rPr>
        <w:t>means the period commencing on the Issuance Date and ending following the close of trading on the tenth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(10th) Trading Day following Stockholder Approval.</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(ll)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ind w:left="2400" w:hanging="448"/>
        <w:spacing w:after="0"/>
        <w:tabs>
          <w:tab w:leader="none" w:pos="2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ind w:firstLine="1952"/>
        <w:spacing w:after="0" w:line="286" w:lineRule="auto"/>
        <w:tabs>
          <w:tab w:leader="none" w:pos="23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“Standard Settlement Period” </w:t>
      </w:r>
      <w:r>
        <w:rPr>
          <w:rFonts w:ascii="Times New Roman" w:cs="Times New Roman" w:eastAsia="Times New Roman" w:hAnsi="Times New Roman"/>
          <w:sz w:val="18"/>
          <w:szCs w:val="18"/>
          <w:color w:val="auto"/>
        </w:rPr>
        <w:t>means the standard settlement period, expressed in a number of Trading Days,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primary Eligible Market with respect to the Common Shares as in effect on the date of delivery of the applicable Exercise Notice.</w:t>
      </w:r>
    </w:p>
    <w:p>
      <w:pPr>
        <w:spacing w:after="0" w:line="155" w:lineRule="exact"/>
        <w:rPr>
          <w:sz w:val="20"/>
          <w:szCs w:val="20"/>
          <w:color w:val="auto"/>
        </w:rPr>
      </w:pPr>
    </w:p>
    <w:p>
      <w:pPr>
        <w:jc w:val="both"/>
        <w:ind w:firstLine="1952"/>
        <w:spacing w:after="0" w:line="259" w:lineRule="auto"/>
        <w:tabs>
          <w:tab w:leader="none" w:pos="230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Approval” </w:t>
      </w:r>
      <w:r>
        <w:rPr>
          <w:rFonts w:ascii="Times New Roman" w:cs="Times New Roman" w:eastAsia="Times New Roman" w:hAnsi="Times New Roman"/>
          <w:sz w:val="18"/>
          <w:szCs w:val="18"/>
          <w:color w:val="auto"/>
        </w:rPr>
        <w:t>means such approval as may be required by the applicable rules and regulations of 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Market (or any successor entity) from the stockholders of the Company, or board of directors in lieu thereof, with respect to issuance of all of the Warrants and the Warrant Shares upon the exercise thereof, including without limitation, (a) to render inapplicable clause (i) of the definition of Floor Price; and (b) to approve an amendment to the Company’s Amended and Restated Certificate of Incorporation, as amended, to increase the number of authorized shares of common stock as may be needed to permit the Company to reserve for issuance all of the Warrant Shares.</w:t>
      </w:r>
    </w:p>
    <w:p>
      <w:pPr>
        <w:spacing w:after="0" w:line="179"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“Subject Entity” </w:t>
      </w:r>
      <w:r>
        <w:rPr>
          <w:rFonts w:ascii="Times New Roman" w:cs="Times New Roman" w:eastAsia="Times New Roman" w:hAnsi="Times New Roman"/>
          <w:sz w:val="18"/>
          <w:szCs w:val="18"/>
          <w:color w:val="auto"/>
        </w:rPr>
        <w:t>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“Successor Entity” </w:t>
      </w:r>
      <w:r>
        <w:rPr>
          <w:rFonts w:ascii="Times New Roman" w:cs="Times New Roman" w:eastAsia="Times New Roman" w:hAnsi="Times New Roman"/>
          <w:sz w:val="18"/>
          <w:szCs w:val="18"/>
          <w:color w:val="auto"/>
        </w:rPr>
        <w:t>means one or more Person or Persons (or, if so elected by the Holder, the Company or Parent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by, resulting from or surviving any Fundamental Transaction or one or more Person or Persons (or, if so elected by the Holder, the Company or the Parent Entity) with which such Fundamental Transaction shall have been entered into.</w:t>
      </w:r>
    </w:p>
    <w:p>
      <w:pPr>
        <w:spacing w:after="0" w:line="174"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“Trading Day” </w:t>
      </w:r>
      <w:r>
        <w:rPr>
          <w:rFonts w:ascii="Times New Roman" w:cs="Times New Roman" w:eastAsia="Times New Roman" w:hAnsi="Times New Roman"/>
          <w:sz w:val="18"/>
          <w:szCs w:val="18"/>
          <w:color w:val="auto"/>
        </w:rPr>
        <w:t>means any day on which the Common Shares are traded on the Principal Market, or, if the Principal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the principal trading market for the Common Shares on such day, then on the principal securities exchange or securities market on which the Common Shares are then traded.</w:t>
      </w:r>
    </w:p>
    <w:p>
      <w:pPr>
        <w:spacing w:after="0" w:line="170"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“Weighted Average Price” </w:t>
      </w:r>
      <w:r>
        <w:rPr>
          <w:rFonts w:ascii="Times New Roman" w:cs="Times New Roman" w:eastAsia="Times New Roman" w:hAnsi="Times New Roman"/>
          <w:sz w:val="18"/>
          <w:szCs w:val="18"/>
          <w:color w:val="auto"/>
        </w:rPr>
        <w:t>means, for any security as of any date, the dollar volume-weighted average price for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on the Pink Open Market.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Warrant to Purchase Common Shares to be duly executed as of the Issuance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00" w:type="dxa"/>
            <w:vAlign w:val="bottom"/>
            <w:tcBorders>
              <w:bottom w:val="single" w:sz="8" w:color="auto"/>
            </w:tcBorders>
          </w:tcPr>
          <w:p>
            <w:pPr>
              <w:spacing w:after="0"/>
              <w:rPr>
                <w:sz w:val="19"/>
                <w:szCs w:val="19"/>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Schaffner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8"/>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Common Shares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Expion360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evidenced by the Warrant to Purchase Common Shares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which is attached only if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respective meanings set forth in the Warrant.</w:t>
      </w:r>
    </w:p>
    <w:p>
      <w:pPr>
        <w:spacing w:after="0" w:line="207" w:lineRule="exact"/>
        <w:rPr>
          <w:sz w:val="20"/>
          <w:szCs w:val="20"/>
          <w:color w:val="auto"/>
        </w:rPr>
      </w:pPr>
    </w:p>
    <w:p>
      <w:pPr>
        <w:ind w:left="840" w:hanging="184"/>
        <w:spacing w:after="0"/>
        <w:tabs>
          <w:tab w:leader="none" w:pos="8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_________________ Warrant Shares; and/or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Warrant Shares, resulting in a delivery obligation of the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Company to the Holder of __________ Common Shares representing the applicable Net Number.</w:t>
      </w:r>
    </w:p>
    <w:p>
      <w:pPr>
        <w:spacing w:after="0" w:line="207" w:lineRule="exact"/>
        <w:rPr>
          <w:sz w:val="20"/>
          <w:szCs w:val="20"/>
          <w:color w:val="auto"/>
        </w:rPr>
      </w:pPr>
    </w:p>
    <w:p>
      <w:pPr>
        <w:jc w:val="both"/>
        <w:ind w:firstLine="656"/>
        <w:spacing w:after="0" w:line="266" w:lineRule="auto"/>
        <w:tabs>
          <w:tab w:leader="none" w:pos="8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Warrant Shares. The Company shall deliver to the holder __________ Warrant Shares in accordance with the terms of the Warrant.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189420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Pacific Stock Transfer Company to issue the above indicated number of Common Shares in accordance with the Transfer Agent Instructions dated ________ __, 2024 from the Company and acknowledged and agreed to by Pacific Stock Transfer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100" w:type="dxa"/>
            <w:vAlign w:val="bottom"/>
            <w:tcBorders>
              <w:bottom w:val="single" w:sz="8" w:color="auto"/>
            </w:tcBorders>
          </w:tcPr>
          <w:p>
            <w:pPr>
              <w:spacing w:after="0"/>
              <w:rPr>
                <w:sz w:val="19"/>
                <w:szCs w:val="19"/>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Schaffner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3"/>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Expion360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 97756</w:t>
      </w:r>
    </w:p>
    <w:p>
      <w:pPr>
        <w:spacing w:after="0" w:line="2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Re:</w:t>
      </w:r>
      <w:r>
        <w:rPr>
          <w:sz w:val="20"/>
          <w:szCs w:val="20"/>
          <w:color w:val="auto"/>
        </w:rPr>
        <w:tab/>
      </w:r>
      <w:r>
        <w:rPr>
          <w:rFonts w:ascii="Times New Roman" w:cs="Times New Roman" w:eastAsia="Times New Roman" w:hAnsi="Times New Roman"/>
          <w:sz w:val="18"/>
          <w:szCs w:val="18"/>
          <w:i w:val="1"/>
          <w:iCs w:val="1"/>
          <w:color w:val="auto"/>
        </w:rPr>
        <w:t>Securities Registered under Registration Statement on Form S-1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Expion360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Registration Statement on Form S-1 (File No. 333-280996)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the prospectus dated August 7, 2024, forming part of the Registration Statement, filed with the Commission pursuant to Rule 424(b) promulgated under the Act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relating to the public offering of (a) up to 50,000,000 of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and/or pre-funded warrants to purchase up to an aggregate of 50,000,000 shares of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(b) Series A warrants to purchase up to an aggregate of 384,172,110 shares of Common Stock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(c) Series B warrants to purchase up to an aggregate of 142,086,055 shares of Common Stock (together with the Pre-Funded Warrants and the Series A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Shares and the Warrants are being sold pursuant to an Underwriting Agreement between the Company and Aegis Capital Corp.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You have requested our opinion with respect to certain matters in connection with the Registration Statement and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opinion, we have examined such documents and considered such questions of law as we have deemed necessary or appropriate. We have assumed the authenticity of all documents submitted to us as originals, the conformity to originals of all documents submitted to us as copies thereof and the genuineness of all signatures. As to questions of fact material to our opinion, we have relied upon the certificates of certain officers of the Company.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w:t>
      </w:r>
    </w:p>
    <w:p>
      <w:pPr>
        <w:spacing w:after="0" w:line="225" w:lineRule="exact"/>
        <w:rPr>
          <w:sz w:val="20"/>
          <w:szCs w:val="20"/>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(1) issuance of the Shares pursuant to the terms of the Agreement and in the manner described in the Registration Statement and Prospectus and (2) receipt by the Company of the consideration for the Shares specified in the resolutions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 duly authorized committee thereof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Shares will be validly issued, fully paid, and nonassessable.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(1) execution and delivery by the Company of the Warrants pursuant to the terms of the Agreement and in the manner described in the Registration Statement and Prospectus and (2) receipt by the Company of the consideration for the Warrants specified in the resolutions of the Board or the Committee, the Warrants will constitute valid and binding obligations of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(1) execution and delivery by the Company of the Warrants pursuant to the terms of the Agreement and in the manner described in the Registration Statement and Prospectus, (2) receipt by the Company of the consideration for the Warrants specified in the resolutions of the Board or the Committee, and (3) exercise of the Warrants pursuant to their terms and in the manner described in the Registration Statement and Prospectus, including receipt by the Company of the consideration for the shares of Common Stock issuable upon exercise of the Warrants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specified therein, and issuance of the Warrant Shares thereunder, the Warrant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opinion expressed in paragraph (b) above with respect to the valid and binding nature of obligations may be limited by bankruptcy, insolvency, reorganization, receivership, moratorium or other laws affecting creditors’ rights (including, without limitation, the effect of statutory and other law regarding fraudulent conveyances, fraudulent transfers and preferential transfers) and by the exercise of judicial discretion and the application of principles of equity, good faith, fair dealing, reasonableness, conscionability and materiality (regardless of whether the Warrants are considered in a proceeding in equity or at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render this opinion only with respect to Chapter 78 of the Nevada Revised Statutes, and we express no opinion herein concerning the application or effect of the laws of any other jurisdiction.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Company’s Current Report on Form 8-K to be filed with the Commission, and further consent to the use of our name under the caption entitled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Prospectus. In giving such consent, we do not hereby admit that we are within the category of persons whose consent is required under Section 7 of the Securities Act or the rules and regulations thereunder.</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sale of the Shares and Warrants pursuant to the Registration Statement, the Prospectus, the Agreement and the Warrants, and may only be relied upon by you and by persons entitled by law to rely upon it pursuant to the applicable provisions of the U.S. federal securities laws.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 Stradling Yocca Carlson &amp; Rauth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ind w:left="99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156845</wp:posOffset>
            </wp:positionV>
            <wp:extent cx="2434590"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345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Expion360 Announces Pricing of $10 Million Underwritten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REDMOND, OR. – August 7, 2024 -- </w:t>
      </w:r>
      <w:r>
        <w:rPr>
          <w:rFonts w:ascii="Times New Roman" w:cs="Times New Roman" w:eastAsia="Times New Roman" w:hAnsi="Times New Roman"/>
          <w:sz w:val="18"/>
          <w:szCs w:val="18"/>
          <w:color w:val="auto"/>
        </w:rPr>
        <w:t>Expion360 Inc. (Nasdaq: XPON) (“Expion360” or the “Company”), a lithium-ion battery power storage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the pricing of a firm commitment underwritten public offering (“Offering”) with gross proceeds to the Company expected to be approximately $10.0 million, before deducting underwriting discounts and other estimated expenses payable by the Company. The base Offering consists of 50,000,000 Common Units or Pre-Funded Units, each Unit consisting of one share of the Company’s common stock (“Common Stock”) or one pre-funded warrant to purchase one share of Common Stock (each, a “Pre-Funded Warrant”), two Series A warrants each to purchase one share of Common Stock (each, a “Series A Warrant”) and one Series B warrant to purchase such number of shares of Common Stock as determined in the Series B warrant (each, a “Series B Warrant” and together with the Series A Warrants, the “Common Warrants”). The purchase price of each Common Unit was $0.20, and the purchase price of each Pre-Funded Unit is $0.199 (which is equal to the public offering price per Common Unit minus $0.001). The Pre-Funded Warrants will be immediately exercisable and may be exercised at any time until all the Pre-Funded Warrants are exercised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Warrants, will be exercisable beginning on the first trading day following the Company’s notice to the Series A Warrant holders of approval by the Company’s stockholders, will expire five (5) years from such date, and will have an initial exercise price of $0.24 per share. Each Series B Warrant will be exercisable immediately. The exercise price and number of shares of Common Stock issuable under the Series B Warrants are subject to adjustment as described in the Series B Warrant. The Company intends to use the net proceeds from the Offering to fully repay the Company’s outstanding debt of approximately $3.4 million, including an aggregate of approximately $0.7 million due to stockholders under certain unsecured promissory note agreements and approximately $2.7 million due under the senior convertible note issued to 3i, LP, as well as for working capital and general corporate purposes.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has granted Aegis Capital Corp. a 45-day option to purchase additional shares of Common Stock and/or Pre-Funded Warrants and/or Common Warrants, representing up to 15% of the number of securities sold in the Offering, solely to cover over-allotments, if 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August 8, 2024, subject to the satisfaction of customary closing conditions.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Aegis Capital Corp. acted as the Sole Bookrunner for the Offering. Stradling Yocca Carlson &amp; Rauth LLP acted as counsel to the Company for the Offering. Kaufman &amp; Canoles, P.C. served as counsel to Aegis Capital Corp. for the Offering.</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described above are being offered pursuant to a registration statement on Form S-1 (File No. 333-280996) originally filed with the Securities and Exchange Commission (“SEC”) on July 25, 2024, as amended, and which registration statement became effective on August 6, 2024. The Offering is being made only by means of a prospectus, which forms a part of the effective registration statement. When available, electronic copies of the final prospectus may be obtained for free on the SEC’s website located at http://www.sec.gov and may also be obtained, when available, by contacting Aegis Capital Corp., Attention: Syndicate Department, 1345 Avenue of the Americas, 27th floor, New York, NY 10105, by email at syndicate@aegiscap.com, or by telephone at (212) 813-1010. Before investing in this Offering, interested parties should read in their entirety the registration statement and the preliminary prospectus and the other documents that the Company has filed with the SEC that are incorporated by reference in such registration statement and the preliminary prospectus, which provide more information about the Company and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Expion360</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Expion360 designs, assembles, manufactures, and sells lithium iron phosphate (LiFePO4) batteries and supporting accessories for recreational vehicles, marine applications and home energy storage products with plans to expand into industrial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Safe Harbor Notice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contained in the Private Securities Litigation Reform Act of 1995. All statements other than statements of historical facts included in this press release, including statements about our beliefs and expectations, are "forward-looking statements" and should be evaluated as such. Forward-looking statements may be identified by words such as “anticipates,” “believes,” “estimates,” “expects,” “intends,” “may,” “plans,” “projects,” “seeks,” “should,” “suggest”, “will,” and similar expressions. Forward-looking statements in this press release include, without limitation, statements relating to the timing, size and expected gross proceeds of the Offering, the completion of the Offering, the satisfaction of customary closing conditions related to the Offering and sale of securities, the Company’s ability to complete the Offering, and the intended use of proceeds from the Offering. The Company has based these forward-looking statements on its current expectations and projections about future events.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including, without limitation, risks, uncertainties and assumptions related to market conditions and the satisfaction of closing conditions related to the Offering, risks disclosed in the section titled “Risk Factors” included in the registration statement on Form S-1 filed with the SEC on July 25, 2024, and risks disclosed under item 1A. “Risk Factors” in the Company’s most recently filed Form 10-K filed with the SEC, as updated by the Company’s subsequent Quarterly Reports on Form 10-Q.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Schaffner,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541-797-6714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2" w:name="page103"/>
    <w:bookmarkEnd w:id="102"/>
    <w:p>
      <w:pPr>
        <w:ind w:left="990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156845</wp:posOffset>
            </wp:positionV>
            <wp:extent cx="243459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345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Expion360 Announces Closing of $10 Million Underwritten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REDMOND, OR. – August 8, 2024 -- </w:t>
      </w:r>
      <w:r>
        <w:rPr>
          <w:rFonts w:ascii="Times New Roman" w:cs="Times New Roman" w:eastAsia="Times New Roman" w:hAnsi="Times New Roman"/>
          <w:sz w:val="18"/>
          <w:szCs w:val="18"/>
          <w:color w:val="auto"/>
        </w:rPr>
        <w:t>Expion360 Inc. (Nasdaq: XPON) (“Expion360” or the “Company”), a lithium-ion battery power storage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the closing of a firm commitment underwritten public offering (“Offering”) with gross proceeds to the Company expected to be approximately $10.0 million, before deducting underwriting discounts and other estimated expenses payable by the Company. The base Offering consists of 50,000,000 Common Units or Pre-Funded Units, each Unit consisting of one share of the Company’s common stock (“Common Stock”) or one pre-funded warrant to purchase one share of Common Stock (each, a “Pre-Funded Warrant”), two Series A warrants each to purchase one share of Common Stock (each, a “Series A Warrant”) and one Series B warrant to purchase such number of shares of Common Stock as determined in the Series B warrant (each, a “Series B Warrant” and together with the Series A Warrants, the “Common Warrants”). The purchase price of each Common Unit was $0.20, and the purchase price of each Pre-Funded Unit is $0.199 (which is equal to the public offering price per Common Unit minus $0.001). The Pre-Funded Warrants will be immediately exercisable and may be exercised at any time until all the Pre-Funded Warrants are exercised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Warrants will be exercisable beginning on the first trading day following the Company’s notice to the Series A Warrant holders of approval by the Company’s stockholders, will expire five (5) years from such date, and will have an initial exercise price of $0.24 per share. Each Series B Warrant will be exercisable immediately. The exercise price and number of shares of Common Stock issuable under the Series B Warrants are subject to adjustment as described in the Series B Warrant. The Company intends to use the net proceeds from the Offering to fully repay the Company’s outstanding debt of approximately $3.4 million, including an aggregate of approximately $0.7 million due to stockholders under certain unsecured promissory note agreements and approximately $2.7 million due under the senior convertible note issued to 3i, LP, as well as for working capital and general corporate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granted Aegis Capital Corp. a 45-day option to purchase additional shares of Common Stock and/or Pre-Funded Warrants and/or Common Warrants, representing up to 15% of the number of securities sold in the Offering, solely to cover over-allotments, if any. Aegis Capital Corp. partially exercised its over-allotment option with respect to an additional 15,000,000 Series A Warrants and 7,500,000 Series B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occurred on August 8, 2024, subject to the satisfaction of customary closing conditions.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Aegis Capital Corp. acted as the Sole Bookrunner for the Offering. Stradling Yocca Carlson &amp; Rauth LLP acted as counsel to the Company for the Offering. Kaufman &amp; Canoles, P.C. served as counsel to Aegis Capital Corp. for the Offering.</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described above were offered pursuant to a registration statement on Form S-1 (File No. 333-280996) originally filed with the Securities and Exchange Commission (“SEC”) on July 25, 2024, as amended, and which registration statement became effective on August 6, 2024. The Offering was made only by means of a prospectus, which forms a part of the effective registration statement. Electronic copies of the final prospectus may be obtained for free on the SEC’s website located at http://www.sec.gov and may also be obtained, when available, by contacting Aegis Capital Corp., Attention: Syndicate Department, 1345 Avenue of the Americas, 27th floor, New York, NY 10105, by email at syndicate@aegiscap.com, or by telephone at (212) 813-1010. Before investing in this Offering, interested parties should read in their entirety the registration statement and the preliminary prospectus and the other documents that the Company has filed with the SEC that are incorporated by reference in such registration statement and the preliminary prospectus, which provide more information about the Company and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Expion360</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Expion360 designs, assembles, manufactures, and sells lithium iron phosphate (LiFePO4) batteries and supporting accessories for recreational vehicles, marine applications and home energy storage products with plans to expand into industrial applications.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Safe Harbor Notice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contained in the Private Securities Litigation Reform Act of 1995. All statements other than statements of historical facts included in this press release, including statements about our beliefs and expectations, are "forward-looking statements" and should be evaluated as such. Forward-looking statements may be identified by words such as “anticipates,” “believes,” “estimates,” “expects,” “intends,” “may,” “plans,” “projects,” “seeks,” “should,” “suggest”, “will,” and similar expressions. Forward-looking statements in this press release include, without limitation, statements relating to statements relating to the timing, size and expected gross proceeds of the Offering, the completion of the Offering, the satisfaction of customary closing conditions related to the Offering and sale of securities, the Company’s ability to complete the Offering, and the intended use of proceeds from the Offering. The Company has based these forward-looking statements on its current expectations and projections about future events.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including, without limitation, risks, uncertainties and assumptions related to market conditions and the satisfaction of closing conditions related to the Offering, risks disclosed in the section titled “Risk Factors” included in the registration statement on Form S-1 filed with the SEC on July 25, 2024, and risks disclosed under item 1A. “Risk Factors” in the Company’s most recently filed Form 10-K filed with the SEC, as updated by the Company’s subsequent Quarterly Reports on Form 10-Q.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Schaffner,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541-797-6714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Contact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Tyson,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 Group - MZ North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949-491-8235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XPON@mzgroup.us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04"/>
    </w:lvl>
  </w:abstractNum>
  <w:abstractNum w:abstractNumId="2">
    <w:nsid w:val="5072367"/>
    <w:multiLevelType w:val="hybridMultilevel"/>
    <w:lvl w:ilvl="0">
      <w:lvlJc w:val="left"/>
      <w:lvlText w:val="%1."/>
      <w:numFmt w:val="decimal"/>
      <w:start w:val="1"/>
    </w:lvl>
    <w:lvl w:ilvl="1">
      <w:lvlJc w:val="left"/>
      <w:lvlText w:val="(%2)"/>
      <w:numFmt w:val="lowerLetter"/>
      <w:start w:val="3"/>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lowerRoman"/>
      <w:start w:val="1"/>
    </w:lvl>
  </w:abstractNum>
  <w:abstractNum w:abstractNumId="5">
    <w:nsid w:val="7724C67E"/>
    <w:multiLevelType w:val="hybridMultilevel"/>
    <w:lvl w:ilvl="0">
      <w:lvlJc w:val="left"/>
      <w:lvlText w:val="(%1)"/>
      <w:numFmt w:val="lowerRoman"/>
      <w:start w:val="2"/>
    </w:lvl>
  </w:abstractNum>
  <w:abstractNum w:abstractNumId="6">
    <w:nsid w:val="5C482A97"/>
    <w:multiLevelType w:val="hybridMultilevel"/>
    <w:lvl w:ilvl="0">
      <w:lvlJc w:val="left"/>
      <w:lvlText w:val="(%1)"/>
      <w:numFmt w:val="lowerRoman"/>
      <w:start w:val="2"/>
    </w:lvl>
  </w:abstractNum>
  <w:abstractNum w:abstractNumId="7">
    <w:nsid w:val="2463B9EA"/>
    <w:multiLevelType w:val="hybridMultilevel"/>
    <w:lvl w:ilvl="0">
      <w:lvlJc w:val="left"/>
      <w:lvlText w:val="%1."/>
      <w:numFmt w:val="decimal"/>
      <w:start w:val="3"/>
    </w:lvl>
    <w:lvl w:ilvl="1">
      <w:lvlJc w:val="left"/>
      <w:lvlText w:val="(%2)"/>
      <w:numFmt w:val="lowerRoman"/>
      <w:start w:val="2"/>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decimal"/>
      <w:start w:val="8"/>
    </w:lvl>
  </w:abstractNum>
  <w:abstractNum w:abstractNumId="11">
    <w:nsid w:val="580BD78F"/>
    <w:multiLevelType w:val="hybridMultilevel"/>
    <w:lvl w:ilvl="0">
      <w:lvlJc w:val="left"/>
      <w:lvlText w:val="%1."/>
      <w:numFmt w:val="decimal"/>
      <w:start w:val="9"/>
    </w:lvl>
  </w:abstractNum>
  <w:abstractNum w:abstractNumId="12">
    <w:nsid w:val="153EA438"/>
    <w:multiLevelType w:val="hybridMultilevel"/>
    <w:lvl w:ilvl="0">
      <w:lvlJc w:val="left"/>
      <w:lvlText w:val="%1."/>
      <w:numFmt w:val="decimal"/>
      <w:start w:val="10"/>
    </w:lvl>
  </w:abstractNum>
  <w:abstractNum w:abstractNumId="13">
    <w:nsid w:val="3855585C"/>
    <w:multiLevelType w:val="hybridMultilevel"/>
    <w:lvl w:ilvl="0">
      <w:lvlJc w:val="left"/>
      <w:lvlText w:val="%1."/>
      <w:numFmt w:val="decimal"/>
      <w:start w:val="11"/>
    </w:lvl>
    <w:lvl w:ilvl="1">
      <w:lvlJc w:val="left"/>
      <w:lvlText w:val="(%2)"/>
      <w:numFmt w:val="lowerRoman"/>
      <w:start w:val="4"/>
    </w:lvl>
  </w:abstractNum>
  <w:abstractNum w:abstractNumId="14">
    <w:nsid w:val="70A64E2A"/>
    <w:multiLevelType w:val="hybridMultilevel"/>
    <w:lvl w:ilvl="0">
      <w:lvlJc w:val="left"/>
      <w:lvlText w:val="%1."/>
      <w:numFmt w:val="decimal"/>
      <w:start w:val="12"/>
    </w:lvl>
  </w:abstractNum>
  <w:abstractNum w:abstractNumId="15">
    <w:nsid w:val="6A2342EC"/>
    <w:multiLevelType w:val="hybridMultilevel"/>
    <w:lvl w:ilvl="0">
      <w:lvlJc w:val="left"/>
      <w:lvlText w:val="%1."/>
      <w:numFmt w:val="decimal"/>
      <w:start w:val="15"/>
    </w:lvl>
  </w:abstractNum>
  <w:abstractNum w:abstractNumId="16">
    <w:nsid w:val="2A487CB0"/>
    <w:multiLevelType w:val="hybridMultilevel"/>
    <w:lvl w:ilvl="0">
      <w:lvlJc w:val="left"/>
      <w:lvlText w:val="%1."/>
      <w:numFmt w:val="decimal"/>
      <w:start w:val="16"/>
    </w:lvl>
  </w:abstractNum>
  <w:abstractNum w:abstractNumId="17">
    <w:nsid w:val="1D4ED43B"/>
    <w:multiLevelType w:val="hybridMultilevel"/>
    <w:lvl w:ilvl="0">
      <w:lvlJc w:val="left"/>
      <w:lvlText w:val="%1."/>
      <w:numFmt w:val="decimal"/>
      <w:start w:val="20"/>
    </w:lvl>
  </w:abstractNum>
  <w:abstractNum w:abstractNumId="18">
    <w:nsid w:val="725A06FB"/>
    <w:multiLevelType w:val="hybridMultilevel"/>
    <w:lvl w:ilvl="0">
      <w:lvlJc w:val="left"/>
      <w:lvlText w:val="%1."/>
      <w:numFmt w:val="decimal"/>
      <w:start w:val="25"/>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26"/>
    </w:lvl>
  </w:abstractNum>
  <w:abstractNum w:abstractNumId="21">
    <w:nsid w:val="7A6D8D3C"/>
    <w:multiLevelType w:val="hybridMultilevel"/>
    <w:lvl w:ilvl="0">
      <w:lvlJc w:val="left"/>
      <w:lvlText w:val="(%1)"/>
      <w:numFmt w:val="upperLetter"/>
      <w:start w:val="24"/>
    </w:lvl>
  </w:abstractNum>
  <w:abstractNum w:abstractNumId="22">
    <w:nsid w:val="4B588F54"/>
    <w:multiLevelType w:val="hybridMultilevel"/>
    <w:lvl w:ilvl="0">
      <w:lvlJc w:val="left"/>
      <w:lvlText w:val="(%1)"/>
      <w:numFmt w:val="upperLetter"/>
      <w:start w:val="1"/>
    </w:lvl>
  </w:abstractNum>
  <w:abstractNum w:abstractNumId="23">
    <w:nsid w:val="542289EC"/>
    <w:multiLevelType w:val="hybridMultilevel"/>
    <w:lvl w:ilvl="0">
      <w:lvlJc w:val="left"/>
      <w:lvlText w:val="%1."/>
      <w:numFmt w:val="decimal"/>
      <w:start w:val="3"/>
    </w:lvl>
  </w:abstractNum>
  <w:abstractNum w:abstractNumId="24">
    <w:nsid w:val="6DE91B18"/>
    <w:multiLevelType w:val="hybridMultilevel"/>
    <w:lvl w:ilvl="0">
      <w:lvlJc w:val="left"/>
      <w:lvlText w:val="%1"/>
      <w:numFmt w:val="decimal"/>
      <w:start w:val="1"/>
    </w:lvl>
    <w:lvl w:ilvl="1">
      <w:lvlJc w:val="left"/>
      <w:lvlText w:val="(%2)"/>
      <w:numFmt w:val="upperLetter"/>
      <w:start w:val="5"/>
    </w:lvl>
  </w:abstractNum>
  <w:abstractNum w:abstractNumId="25">
    <w:nsid w:val="38437FDB"/>
    <w:multiLevelType w:val="hybridMultilevel"/>
    <w:lvl w:ilvl="0">
      <w:lvlJc w:val="left"/>
      <w:lvlText w:val="%1."/>
      <w:numFmt w:val="decimal"/>
      <w:start w:val="4"/>
    </w:lvl>
    <w:lvl w:ilvl="1">
      <w:lvlJc w:val="left"/>
      <w:lvlText w:val="%2"/>
      <w:numFmt w:val="upperLetter"/>
      <w:start w:val="1"/>
    </w:lvl>
  </w:abstractNum>
  <w:abstractNum w:abstractNumId="26">
    <w:nsid w:val="7644A45C"/>
    <w:multiLevelType w:val="hybridMultilevel"/>
    <w:lvl w:ilvl="0">
      <w:lvlJc w:val="left"/>
      <w:lvlText w:val="%1."/>
      <w:numFmt w:val="decimal"/>
      <w:start w:val="5"/>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2"/>
    </w:lvl>
    <w:lvl w:ilvl="1">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2"/>
    </w:lvl>
    <w:lvl w:ilvl="1">
      <w:lvlJc w:val="left"/>
      <w:lvlText w:val="(%2)"/>
      <w:numFmt w:val="upperLetter"/>
      <w:start w:val="1"/>
    </w:lvl>
  </w:abstractNum>
  <w:abstractNum w:abstractNumId="31">
    <w:nsid w:val="3DC240FB"/>
    <w:multiLevelType w:val="hybridMultilevel"/>
    <w:lvl w:ilvl="0">
      <w:lvlJc w:val="left"/>
      <w:lvlText w:val="(%1)"/>
      <w:numFmt w:val="upperLetter"/>
      <w:start w:val="24"/>
    </w:lvl>
  </w:abstractNum>
  <w:abstractNum w:abstractNumId="32">
    <w:nsid w:val="1BA026FA"/>
    <w:multiLevelType w:val="hybridMultilevel"/>
    <w:lvl w:ilvl="0">
      <w:lvlJc w:val="left"/>
      <w:lvlText w:val="(%1)"/>
      <w:numFmt w:val="upperLetter"/>
      <w:start w:val="1"/>
    </w:lvl>
  </w:abstractNum>
  <w:abstractNum w:abstractNumId="33">
    <w:nsid w:val="79A1DEAA"/>
    <w:multiLevelType w:val="hybridMultilevel"/>
    <w:lvl w:ilvl="0">
      <w:lvlJc w:val="left"/>
      <w:lvlText w:val="%1."/>
      <w:numFmt w:val="decimal"/>
      <w:start w:val="3"/>
    </w:lvl>
  </w:abstractNum>
  <w:abstractNum w:abstractNumId="34">
    <w:nsid w:val="75C6C33A"/>
    <w:multiLevelType w:val="hybridMultilevel"/>
    <w:lvl w:ilvl="0">
      <w:lvlJc w:val="left"/>
      <w:lvlText w:val="(%1)"/>
      <w:numFmt w:val="upperLetter"/>
      <w:start w:val="1"/>
    </w:lvl>
  </w:abstractNum>
  <w:abstractNum w:abstractNumId="35">
    <w:nsid w:val="12E685FB"/>
    <w:multiLevelType w:val="hybridMultilevel"/>
    <w:lvl w:ilvl="0">
      <w:lvlJc w:val="left"/>
      <w:lvlText w:val="(%1)"/>
      <w:numFmt w:val="upperLetter"/>
      <w:start w:val="5"/>
    </w:lvl>
  </w:abstractNum>
  <w:abstractNum w:abstractNumId="36">
    <w:nsid w:val="70C6A529"/>
    <w:multiLevelType w:val="hybridMultilevel"/>
    <w:lvl w:ilvl="0">
      <w:lvlJc w:val="left"/>
      <w:lvlText w:val="(%1)"/>
      <w:numFmt w:val="lowerRoman"/>
      <w:start w:val="10"/>
    </w:lvl>
  </w:abstractNum>
  <w:abstractNum w:abstractNumId="37">
    <w:nsid w:val="520EEDD1"/>
    <w:multiLevelType w:val="hybridMultilevel"/>
    <w:lvl w:ilvl="0">
      <w:lvlJc w:val="left"/>
      <w:lvlText w:val="(%1)"/>
      <w:numFmt w:val="decimal"/>
      <w:start w:val="20"/>
    </w:lvl>
  </w:abstractNum>
  <w:abstractNum w:abstractNumId="38">
    <w:nsid w:val="374A3FE6"/>
    <w:multiLevelType w:val="hybridMultilevel"/>
    <w:lvl w:ilvl="0">
      <w:lvlJc w:val="left"/>
      <w:lvlText w:val="%1."/>
      <w:numFmt w:val="decimal"/>
      <w:start w:val="4"/>
    </w:lvl>
  </w:abstractNum>
  <w:abstractNum w:abstractNumId="39">
    <w:nsid w:val="4F4EF005"/>
    <w:multiLevelType w:val="hybridMultilevel"/>
    <w:lvl w:ilvl="0">
      <w:lvlJc w:val="left"/>
      <w:lvlText w:val="%1."/>
      <w:numFmt w:val="decimal"/>
      <w:start w:val="5"/>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2"/>
    </w:lvl>
    <w:lvl w:ilvl="1">
      <w:lvlJc w:val="left"/>
      <w:lvlText w:val="["/>
      <w:numFmt w:val="bullet"/>
      <w:start w:val="1"/>
    </w:lvl>
  </w:abstractNum>
  <w:abstractNum w:abstractNumId="42">
    <w:nsid w:val="275AC794"/>
    <w:multiLevelType w:val="hybridMultilevel"/>
    <w:lvl w:ilvl="0">
      <w:lvlJc w:val="left"/>
      <w:lvlText w:val="%1."/>
      <w:numFmt w:val="decimal"/>
      <w:start w:val="1"/>
    </w:lvl>
    <w:lvl w:ilvl="1">
      <w:lvlJc w:val="left"/>
      <w:lvlText w:val="(%2)"/>
      <w:numFmt w:val="lowerLetter"/>
      <w:start w:val="1"/>
    </w:lvl>
  </w:abstractNum>
  <w:abstractNum w:abstractNumId="43">
    <w:nsid w:val="39386575"/>
    <w:multiLevelType w:val="hybridMultilevel"/>
    <w:lvl w:ilvl="0">
      <w:lvlJc w:val="left"/>
      <w:lvlText w:val="(%1)"/>
      <w:numFmt w:val="lowerLetter"/>
      <w:start w:val="3"/>
    </w:lvl>
  </w:abstractNum>
  <w:abstractNum w:abstractNumId="44">
    <w:nsid w:val="1CF10FD8"/>
    <w:multiLevelType w:val="hybridMultilevel"/>
    <w:lvl w:ilvl="0">
      <w:lvlJc w:val="left"/>
      <w:lvlText w:val="(%1)"/>
      <w:numFmt w:val="lowerLetter"/>
      <w:start w:val="5"/>
    </w:lvl>
  </w:abstractNum>
  <w:abstractNum w:abstractNumId="45">
    <w:nsid w:val="180115BE"/>
    <w:multiLevelType w:val="hybridMultilevel"/>
    <w:lvl w:ilvl="0">
      <w:lvlJc w:val="left"/>
      <w:lvlText w:val="%1"/>
      <w:numFmt w:val="decimal"/>
      <w:start w:val="1"/>
    </w:lvl>
    <w:lvl w:ilvl="1">
      <w:lvlJc w:val="left"/>
      <w:lvlText w:val="(%2)"/>
      <w:numFmt w:val="lowerLetter"/>
      <w:start w:val="7"/>
    </w:lvl>
  </w:abstractNum>
  <w:abstractNum w:abstractNumId="46">
    <w:nsid w:val="235BA861"/>
    <w:multiLevelType w:val="hybridMultilevel"/>
    <w:lvl w:ilvl="0">
      <w:lvlJc w:val="left"/>
      <w:lvlText w:val="%1."/>
      <w:numFmt w:val="decimal"/>
      <w:start w:val="2"/>
    </w:lvl>
    <w:lvl w:ilvl="1">
      <w:lvlJc w:val="left"/>
      <w:lvlText w:val="(%2)"/>
      <w:numFmt w:val="lowerLetter"/>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9">
    <w:nsid w:val="15B5AF5C"/>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61"/>
    </w:lvl>
  </w:abstractNum>
  <w:abstractNum w:abstractNumId="50">
    <w:nsid w:val="741226BB"/>
    <w:multiLevelType w:val="hybridMultilevel"/>
    <w:lvl w:ilvl="0">
      <w:lvlJc w:val="left"/>
      <w:lvlText w:val="%1."/>
      <w:numFmt w:val="decimal"/>
      <w:start w:val="3"/>
    </w:lvl>
    <w:lvl w:ilvl="1">
      <w:lvlJc w:val="left"/>
      <w:lvlText w:val="(%2)"/>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decimal"/>
      <w:start w:val="5"/>
    </w:lvl>
    <w:lvl w:ilvl="1">
      <w:lvlJc w:val="left"/>
      <w:lvlText w:val="(%2)"/>
      <w:numFmt w:val="lowerLetter"/>
      <w:start w:val="1"/>
    </w:lvl>
  </w:abstractNum>
  <w:abstractNum w:abstractNumId="53">
    <w:nsid w:val="3F6AB60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54">
    <w:nsid w:val="61574095"/>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55">
    <w:nsid w:val="7E0C57B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6">
    <w:nsid w:val="77AE35EB"/>
    <w:multiLevelType w:val="hybridMultilevel"/>
    <w:lvl w:ilvl="0">
      <w:lvlJc w:val="left"/>
      <w:lvlText w:val="%1."/>
      <w:numFmt w:val="decimal"/>
      <w:start w:val="9"/>
    </w:lvl>
  </w:abstractNum>
  <w:abstractNum w:abstractNumId="57">
    <w:nsid w:val="579BE4F1"/>
    <w:multiLevelType w:val="hybridMultilevel"/>
    <w:lvl w:ilvl="0">
      <w:lvlJc w:val="left"/>
      <w:lvlText w:val="%1."/>
      <w:numFmt w:val="decimal"/>
      <w:start w:val="13"/>
    </w:lvl>
  </w:abstractNum>
  <w:abstractNum w:abstractNumId="58">
    <w:nsid w:val="310C50B3"/>
    <w:multiLevelType w:val="hybridMultilevel"/>
    <w:lvl w:ilvl="0">
      <w:lvlJc w:val="left"/>
      <w:lvlText w:val="%1."/>
      <w:numFmt w:val="decimal"/>
      <w:start w:val="17"/>
    </w:lvl>
    <w:lvl w:ilvl="1">
      <w:lvlJc w:val="left"/>
      <w:lvlText w:val="(%2)"/>
      <w:numFmt w:val="lowerLetter"/>
      <w:start w:val="1"/>
    </w:lvl>
  </w:abstractNum>
  <w:abstractNum w:abstractNumId="59">
    <w:nsid w:val="5FF87E05"/>
    <w:multiLevelType w:val="hybridMultilevel"/>
    <w:lvl w:ilvl="0">
      <w:lvlJc w:val="left"/>
      <w:lvlText w:val="(%1)"/>
      <w:numFmt w:val="lowerLetter"/>
      <w:start w:val="7"/>
    </w:lvl>
  </w:abstractNum>
  <w:abstractNum w:abstractNumId="60">
    <w:nsid w:val="2F305DEF"/>
    <w:multiLevelType w:val="hybridMultilevel"/>
    <w:lvl w:ilvl="0">
      <w:lvlJc w:val="left"/>
      <w:lvlText w:val="(%1)"/>
      <w:numFmt w:val="lowerLetter"/>
      <w:start w:val="14"/>
    </w:lvl>
  </w:abstractNum>
  <w:abstractNum w:abstractNumId="61">
    <w:nsid w:val="25A70BF7"/>
    <w:multiLevelType w:val="hybridMultilevel"/>
    <w:lvl w:ilvl="0">
      <w:lvlJc w:val="left"/>
      <w:lvlText w:val="(%1)"/>
      <w:numFmt w:val="lowerLetter"/>
      <w:start w:val="22"/>
    </w:lvl>
  </w:abstractNum>
  <w:abstractNum w:abstractNumId="62">
    <w:nsid w:val="1DBABF00"/>
    <w:multiLevelType w:val="hybridMultilevel"/>
    <w:lvl w:ilvl="0">
      <w:lvlJc w:val="left"/>
      <w:lvlText w:val="(%1)"/>
      <w:numFmt w:val="lowerLetter"/>
      <w:start w:val="27"/>
    </w:lvl>
  </w:abstractNum>
  <w:abstractNum w:abstractNumId="63">
    <w:nsid w:val="4AD084E9"/>
    <w:multiLevelType w:val="hybridMultilevel"/>
    <w:lvl w:ilvl="0">
      <w:lvlJc w:val="left"/>
      <w:lvlText w:val="(%1)"/>
      <w:numFmt w:val="lowerRoman"/>
      <w:start w:val="2"/>
    </w:lvl>
  </w:abstractNum>
  <w:abstractNum w:abstractNumId="64">
    <w:nsid w:val="1F48EAA1"/>
    <w:multiLevelType w:val="hybridMultilevel"/>
    <w:lvl w:ilvl="0">
      <w:lvlJc w:val="left"/>
      <w:lvlText w:val="(%1)"/>
      <w:numFmt w:val="lowerLetter"/>
      <w:start w:val="39"/>
    </w:lvl>
  </w:abstractNum>
  <w:abstractNum w:abstractNumId="65">
    <w:nsid w:val="1381823A"/>
    <w:multiLevelType w:val="hybridMultilevel"/>
    <w:lvl w:ilvl="0">
      <w:lvlJc w:val="left"/>
      <w:lvlText w:val="(%1)"/>
      <w:numFmt w:val="lowerLetter"/>
      <w:start w:val="40"/>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2"/>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2024-08-09T05:27:54Z</dcterms:created>
  <dcterms:modified xsi:type="dcterms:W3CDTF">2024-08-09T05:27:54Z</dcterms:modified>
</cp:coreProperties>
</file>