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001-41347</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81-2701049</w:t>
            </w:r>
          </w:p>
        </w:tc>
      </w:tr>
      <w:tr>
        <w:trPr>
          <w:trHeight w:val="270"/>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70"/>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81"/>
        </w:trPr>
        <w:tc>
          <w:tcPr>
            <w:tcW w:w="3080" w:type="dxa"/>
            <w:vAlign w:val="bottom"/>
            <w:tcBorders>
              <w:bottom w:val="single" w:sz="8" w:color="808080"/>
            </w:tcBorders>
          </w:tcPr>
          <w:p>
            <w:pPr>
              <w:spacing w:after="0"/>
              <w:rPr>
                <w:sz w:val="7"/>
                <w:szCs w:val="7"/>
                <w:color w:val="auto"/>
              </w:rPr>
            </w:pPr>
          </w:p>
        </w:tc>
        <w:tc>
          <w:tcPr>
            <w:tcW w:w="5320" w:type="dxa"/>
            <w:vAlign w:val="bottom"/>
            <w:tcBorders>
              <w:bottom w:val="single" w:sz="8" w:color="808080"/>
            </w:tcBorders>
          </w:tcPr>
          <w:p>
            <w:pPr>
              <w:spacing w:after="0"/>
              <w:rPr>
                <w:sz w:val="7"/>
                <w:szCs w:val="7"/>
                <w:color w:val="auto"/>
              </w:rPr>
            </w:pPr>
          </w:p>
        </w:tc>
        <w:tc>
          <w:tcPr>
            <w:tcW w:w="2840" w:type="dxa"/>
            <w:vAlign w:val="bottom"/>
            <w:tcBorders>
              <w:bottom w:val="single" w:sz="8" w:color="808080"/>
            </w:tcBorders>
          </w:tcPr>
          <w:p>
            <w:pPr>
              <w:spacing w:after="0"/>
              <w:rPr>
                <w:sz w:val="7"/>
                <w:szCs w:val="7"/>
                <w:color w:val="auto"/>
              </w:rPr>
            </w:pPr>
          </w:p>
        </w:tc>
      </w:tr>
      <w:tr>
        <w:trPr>
          <w:trHeight w:val="506"/>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 SW Deerhound Avenue</w:t>
            </w:r>
          </w:p>
        </w:tc>
        <w:tc>
          <w:tcPr>
            <w:tcW w:w="2840" w:type="dxa"/>
            <w:vAlign w:val="bottom"/>
          </w:tcPr>
          <w:p>
            <w:pPr>
              <w:spacing w:after="0"/>
              <w:rPr>
                <w:sz w:val="24"/>
                <w:szCs w:val="24"/>
                <w:color w:val="auto"/>
              </w:rPr>
            </w:pPr>
          </w:p>
        </w:tc>
      </w:tr>
      <w:tr>
        <w:trPr>
          <w:trHeight w:val="270"/>
        </w:trPr>
        <w:tc>
          <w:tcPr>
            <w:tcW w:w="3080" w:type="dxa"/>
            <w:vAlign w:val="bottom"/>
          </w:tcPr>
          <w:p>
            <w:pPr>
              <w:spacing w:after="0"/>
              <w:rPr>
                <w:sz w:val="23"/>
                <w:szCs w:val="23"/>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Redmond, OR 97756</w:t>
            </w:r>
          </w:p>
        </w:tc>
        <w:tc>
          <w:tcPr>
            <w:tcW w:w="2840" w:type="dxa"/>
            <w:vAlign w:val="bottom"/>
          </w:tcPr>
          <w:p>
            <w:pPr>
              <w:spacing w:after="0"/>
              <w:rPr>
                <w:sz w:val="23"/>
                <w:szCs w:val="23"/>
                <w:color w:val="auto"/>
              </w:rPr>
            </w:pPr>
          </w:p>
        </w:tc>
      </w:tr>
      <w:tr>
        <w:trPr>
          <w:trHeight w:val="270"/>
        </w:trPr>
        <w:tc>
          <w:tcPr>
            <w:tcW w:w="3080" w:type="dxa"/>
            <w:vAlign w:val="bottom"/>
          </w:tcPr>
          <w:p>
            <w:pPr>
              <w:spacing w:after="0"/>
              <w:rPr>
                <w:sz w:val="23"/>
                <w:szCs w:val="23"/>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840" w:type="dxa"/>
            <w:vAlign w:val="bottom"/>
          </w:tcPr>
          <w:p>
            <w:pPr>
              <w:spacing w:after="0"/>
              <w:rPr>
                <w:sz w:val="23"/>
                <w:szCs w:val="23"/>
                <w:color w:val="auto"/>
              </w:rPr>
            </w:pPr>
          </w:p>
        </w:tc>
      </w:tr>
      <w:tr>
        <w:trPr>
          <w:trHeight w:val="437"/>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(541) 797-6714</w:t>
            </w:r>
          </w:p>
        </w:tc>
        <w:tc>
          <w:tcPr>
            <w:tcW w:w="284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4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4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480" w:firstLine="8"/>
        <w:spacing w:after="0" w:line="498" w:lineRule="auto"/>
        <w:tabs>
          <w:tab w:leader="none" w:pos="1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XPON</w:t>
            </w:r>
          </w:p>
        </w:tc>
        <w:tc>
          <w:tcPr>
            <w:tcW w:w="1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5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90"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 w:name="page2"/>
    <w:bookmarkEnd w:id="1"/>
    <w:p>
      <w:pPr>
        <w:ind w:left="1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12, 2025, Expion360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an At-The-Market Issuance Sales Agreement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 with Aegis Capital Corp. acting as sales agent (the “</w:t>
      </w:r>
      <w:r>
        <w:rPr>
          <w:rFonts w:ascii="Times New Roman" w:cs="Times New Roman" w:eastAsia="Times New Roman" w:hAnsi="Times New Roman"/>
          <w:sz w:val="18"/>
          <w:szCs w:val="18"/>
          <w:b w:val="1"/>
          <w:bCs w:val="1"/>
          <w:i w:val="1"/>
          <w:iCs w:val="1"/>
          <w:color w:val="auto"/>
        </w:rPr>
        <w:t>Sales Agen</w:t>
      </w:r>
      <w:r>
        <w:rPr>
          <w:rFonts w:ascii="Times New Roman" w:cs="Times New Roman" w:eastAsia="Times New Roman" w:hAnsi="Times New Roman"/>
          <w:sz w:val="18"/>
          <w:szCs w:val="18"/>
          <w:color w:val="auto"/>
        </w:rPr>
        <w:t>t”), pursuant to which the Company may offer and sell, from time to time, up to an aggregate offering price of $15.0 million of shares (the “</w:t>
      </w:r>
      <w:r>
        <w:rPr>
          <w:rFonts w:ascii="Times New Roman" w:cs="Times New Roman" w:eastAsia="Times New Roman" w:hAnsi="Times New Roman"/>
          <w:sz w:val="18"/>
          <w:szCs w:val="18"/>
          <w:b w:val="1"/>
          <w:bCs w:val="1"/>
          <w:i w:val="1"/>
          <w:iCs w:val="1"/>
          <w:color w:val="auto"/>
        </w:rPr>
        <w:t>Placement Shares</w:t>
      </w:r>
      <w:r>
        <w:rPr>
          <w:rFonts w:ascii="Times New Roman" w:cs="Times New Roman" w:eastAsia="Times New Roman" w:hAnsi="Times New Roman"/>
          <w:sz w:val="18"/>
          <w:szCs w:val="18"/>
          <w:color w:val="auto"/>
        </w:rPr>
        <w:t>”) of its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through the Sales Agent. The Sales Agent may sell the Placement Shares by any method deemed to be an “at the market offering” as defined in Rule 415(a)(4) promulgated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including sales made directly on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or any other trading market for the Common Stock, or in privately negotiated transactions.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issuance and sale of the Placement Shares by the Company under the Sales Agreement, if any, will be made pursuant to the Company’s registration statement on Form S-3 (File No. 333-272956)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which was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June 27, 2023 and declared effective on July 10, 2023, and the base prospectus contained within the Registration Statement. Sales of the Placement Shares, if any, pursuant to the Sales Agreement, may be made in sales deemed to be “at the market” offerings as defined in Rule 415 promulgated under the Securities Act.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not obligated to sell any Placement Shares under the Sales Agreement. The Company intends to use the net proceeds from the offering, if any, for working capital and other general corporate purposes. Subject to the terms and conditions of the Sales Agreement, the Sales Agent will use its commercially reasonable efforts, consistent with its normal trading and sales practices and applicable state and federal laws, rules and regulations and Nasdaq rules, for the period specified in the placement notices delivered to the Sales Agent by the Company (each, a “</w:t>
      </w:r>
      <w:r>
        <w:rPr>
          <w:rFonts w:ascii="Times New Roman" w:cs="Times New Roman" w:eastAsia="Times New Roman" w:hAnsi="Times New Roman"/>
          <w:sz w:val="18"/>
          <w:szCs w:val="18"/>
          <w:b w:val="1"/>
          <w:bCs w:val="1"/>
          <w:i w:val="1"/>
          <w:iCs w:val="1"/>
          <w:color w:val="auto"/>
        </w:rPr>
        <w:t>Placement Notice</w:t>
      </w:r>
      <w:r>
        <w:rPr>
          <w:rFonts w:ascii="Times New Roman" w:cs="Times New Roman" w:eastAsia="Times New Roman" w:hAnsi="Times New Roman"/>
          <w:sz w:val="18"/>
          <w:szCs w:val="18"/>
          <w:color w:val="auto"/>
        </w:rPr>
        <w:t>”), to sell such Placement Shares up to the amount specified by the Company in, and otherwise in accordance with the terms of, such Placement Notice. The Sales Agreement will terminate, and the offer and sale of the Placement Shares pursuant to the Sales Agreement will cease, upon the earlier of (a) the issuance and sale of all of the Placement Shares subject to the Sales Agreement, or (b) the termination of the Sales Agreement by the Sales Agent or the Company pursuant to the terms thereof.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agreed to pay the Sales Agent a commission of 2.0% of the aggregate gross proceeds of each sale of Placement Shares that occurs pursuant to the Sales Agreement, and has agreed to provide the Sales Agent with customary indemnification and contribution rights, including with respect to certain liabilities under the Securities Act. In addition, the Company has agreed to pay certain expenses incurred by the Sales Agent in connection with the offering, including reasonable documented fees and out-of-pocket expenses of its legal counsel.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material terms of the Sales Agreement does not purport to be complete and is qualified in its entirety by reference to the complete text of the Sales Agreement, a copy of which is filed herewith as Exhibit 1.1 and incorporated herein by reference.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legal opinion of Stradling Yocca Carlson &amp; Rauth LLP, counsel to the Company, related to the issuance and sale of the Placement Shares pursuant to the Registration Statement, is filed herewith as Exhibit 5.1.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solicitation of an offer to buy the Placement Shares, nor shall there be any sale of the Placement Shares in any state in which such offer, solicitation or sale would be unlawful prior to registration or qualification under the securities law of such state or jurisdiction.</w:t>
      </w:r>
    </w:p>
    <w:p>
      <w:pPr>
        <w:spacing w:after="0" w:line="172"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60"/>
        <w:spacing w:after="0"/>
        <w:tabs>
          <w:tab w:leader="none" w:pos="556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6635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Legal Opinion of Stradling Yocca Carlson &amp; Rauth LLP</w:t>
      </w:r>
    </w:p>
    <w:p>
      <w:pPr>
        <w:spacing w:after="0" w:line="2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At-The-Market Issuance Sales Agreement, dated December 12, 2025, by and between Expion360 Inc. and Aegis Capital Corp.</w:t>
      </w:r>
    </w:p>
    <w:p>
      <w:pPr>
        <w:spacing w:after="0" w:line="31" w:lineRule="exact"/>
        <w:rPr>
          <w:sz w:val="20"/>
          <w:szCs w:val="20"/>
          <w:color w:val="auto"/>
        </w:rPr>
      </w:pPr>
    </w:p>
    <w:p>
      <w:pPr>
        <w:ind w:left="800" w:hanging="792"/>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of the schedules (and similar attachments) to this exhibit have been omitted in accordance with Item 601(a)(5) of Regulation S-K under the Securities Act because they do not contain information material to an investment decision and that information is not otherwise disclosed in the exhibit or the disclosure document. The registrant agrees to furnish a copy of all omitted schedules (or similar attachments) to the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EXPION360 INC.</w:t>
            </w:r>
          </w:p>
        </w:tc>
      </w:tr>
      <w:tr>
        <w:trPr>
          <w:trHeight w:val="49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15, 2025</w:t>
            </w:r>
          </w:p>
        </w:tc>
        <w:tc>
          <w:tcPr>
            <w:tcW w:w="30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Shawna Bowin</w:t>
            </w:r>
          </w:p>
        </w:tc>
      </w:tr>
      <w:tr>
        <w:trPr>
          <w:trHeight w:val="291"/>
        </w:trPr>
        <w:tc>
          <w:tcPr>
            <w:tcW w:w="3520" w:type="dxa"/>
            <w:vAlign w:val="bottom"/>
          </w:tcPr>
          <w:p>
            <w:pPr>
              <w:spacing w:after="0"/>
              <w:rPr>
                <w:sz w:val="24"/>
                <w:szCs w:val="24"/>
                <w:color w:val="auto"/>
              </w:rPr>
            </w:pPr>
          </w:p>
        </w:tc>
        <w:tc>
          <w:tcPr>
            <w:tcW w:w="30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w:t>
            </w: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Shawna Bowin</w:t>
            </w:r>
          </w:p>
        </w:tc>
        <w:tc>
          <w:tcPr>
            <w:tcW w:w="3440" w:type="dxa"/>
            <w:vAlign w:val="bottom"/>
          </w:tcPr>
          <w:p>
            <w:pPr>
              <w:spacing w:after="0"/>
              <w:rPr>
                <w:sz w:val="24"/>
                <w:szCs w:val="24"/>
                <w:color w:val="auto"/>
              </w:rPr>
            </w:pPr>
          </w:p>
        </w:tc>
      </w:tr>
      <w:tr>
        <w:trPr>
          <w:trHeight w:val="270"/>
        </w:trPr>
        <w:tc>
          <w:tcPr>
            <w:tcW w:w="3520" w:type="dxa"/>
            <w:vAlign w:val="bottom"/>
          </w:tcPr>
          <w:p>
            <w:pPr>
              <w:spacing w:after="0"/>
              <w:rPr>
                <w:sz w:val="23"/>
                <w:szCs w:val="23"/>
                <w:color w:val="auto"/>
              </w:rPr>
            </w:pPr>
          </w:p>
        </w:tc>
        <w:tc>
          <w:tcPr>
            <w:tcW w:w="30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79"/>
        </w:trPr>
        <w:tc>
          <w:tcPr>
            <w:tcW w:w="35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3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color w:val="3A547C"/>
        </w:rPr>
        <w:t>Stradling Yocca Carlson &amp; Rauth LLP</w:t>
      </w:r>
    </w:p>
    <w:p>
      <w:pPr>
        <w:spacing w:after="0" w:line="2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color w:val="3A547C"/>
        </w:rPr>
        <w:t>660 Newport Center Drive, Suite 1600</w:t>
      </w:r>
    </w:p>
    <w:p>
      <w:pPr>
        <w:spacing w:after="0" w:line="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color w:val="3A547C"/>
        </w:rPr>
        <w:t>Newport Beach, CA 92660-6422</w:t>
      </w:r>
    </w:p>
    <w:p>
      <w:pPr>
        <w:spacing w:after="0" w:line="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color w:val="3A547C"/>
        </w:rPr>
        <w:t>949 725 4000</w:t>
      </w:r>
    </w:p>
    <w:p>
      <w:pPr>
        <w:spacing w:after="0" w:line="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color w:val="3A547C"/>
        </w:rPr>
        <w:t>stradlinglaw.com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1311275" cy="368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27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Expion360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SW Deerhound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Redmond, Oregon 97756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Securities Registered under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have requested our opinion with respect to certain matters in connection with the proposed offer and sale by Expion360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of up to an aggregate of $15,000,000 of shares of the Company’s common stock, par value $0.001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pursuant to a Registration Statement on Form S-3 (Registration No. 333-272956),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June 27, 2023 and declared effective on July 10, 2023 (as such may be amended or supplemented from time to time,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base prospectus included in the Registration Statement, which covers the offering, issuance and sale of up to an aggregate of $50,000,000 of common stock, preferred stock, debt securities and/or warrants of the Company (as such may be amended from time to time,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a prospectus supplement to be filed by the Company with the Commission on or about December 12, 2025, which covers the issuance and sale of up to an aggregate of $15,000,000 of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in a manner constituting an “at the market offering” as defined in Rule 415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(as such may be amended or supplemented from time to time,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We understand the Shares are proposed to be offered and sold by the Company through Aegis Capital Corp. (the “</w:t>
      </w:r>
      <w:r>
        <w:rPr>
          <w:rFonts w:ascii="Times New Roman" w:cs="Times New Roman" w:eastAsia="Times New Roman" w:hAnsi="Times New Roman"/>
          <w:sz w:val="18"/>
          <w:szCs w:val="18"/>
          <w:b w:val="1"/>
          <w:bCs w:val="1"/>
          <w:i w:val="1"/>
          <w:iCs w:val="1"/>
          <w:color w:val="auto"/>
        </w:rPr>
        <w:t>Sales Agent</w:t>
      </w:r>
      <w:r>
        <w:rPr>
          <w:rFonts w:ascii="Times New Roman" w:cs="Times New Roman" w:eastAsia="Times New Roman" w:hAnsi="Times New Roman"/>
          <w:sz w:val="18"/>
          <w:szCs w:val="18"/>
          <w:color w:val="auto"/>
        </w:rPr>
        <w:t>”) pursuant to that certain At-The-Market Issuance Sales Agreement (“</w:t>
      </w:r>
      <w:r>
        <w:rPr>
          <w:rFonts w:ascii="Times New Roman" w:cs="Times New Roman" w:eastAsia="Times New Roman" w:hAnsi="Times New Roman"/>
          <w:sz w:val="18"/>
          <w:szCs w:val="18"/>
          <w:b w:val="1"/>
          <w:bCs w:val="1"/>
          <w:i w:val="1"/>
          <w:iCs w:val="1"/>
          <w:color w:val="auto"/>
        </w:rPr>
        <w:t>ATM Agreement</w:t>
      </w:r>
      <w:r>
        <w:rPr>
          <w:rFonts w:ascii="Times New Roman" w:cs="Times New Roman" w:eastAsia="Times New Roman" w:hAnsi="Times New Roman"/>
          <w:sz w:val="18"/>
          <w:szCs w:val="18"/>
          <w:color w:val="auto"/>
        </w:rPr>
        <w:t>”), dated December 12, 2025, by and between the Company and the Sales Agent.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opinion, we have examined such documents and considered such questions of law as we have deemed necessary or appropriate. We have assumed the authenticity of all documents submitted to us as originals, the conformity to originals of all documents submitted to us as copies thereof and the genuineness of all signatures. As to questions of fact material to our opinions, we have relied upon the certificates of certain officers of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issued and sold in the manner described in the Registration Statement, the Prospectus and the Sales Agreement, will be validly issued, fully paid and non-assessable, provided that, at the time of the issuance of such Shares, the Company has a sufficient number of authorized but unissued shares of Common Stock under the Company’s Articles of Incorporation.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opinion assumes that, at the time of each issuance and sale of Shares under the Sales Agreement, the Company will have a sufficient number of authorized but unissued shares of Common Stock under the Company’s Articles of Incorporation.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to the Company’s Current Report on Form 8-K to be filed with the Commission, and further consent to the use of our name under the caption entitled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in the Prospectus. In giving such consent, we do not hereby admit that we are within the category of persons whose consent is required under Section 7 of the Securities Act or the rules and regulations thereunder.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is intended solely for use in connection with the issuance and sale of the Shares pursuant to the Registration Statement and the Prospectus and is not to be relied upon for any other purpose or delivered to or relied upon by any other person without our prior written consent. This opinion is rendered as of the date hereof and based solely on our understanding of facts in existence as of such date after the examination described in this opinion. We assume no obligation to advise you of any fact, circumstance, event or change in the law or the facts that may hereafter be brought to our attention whether or not such occurrence would affect or modify the opinions expressed herein.</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STRADLING YOCCA CARLSON &amp; RAUTH LLP</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/s/ Stradling Yocca Carlson &amp; Rauth LLP</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 value $0.001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At-The-Market Issuance Sales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Aegis Capital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1345 Avenue of the Americas, 27th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Expion360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confirms its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with Aegis Capital Corp. (</w:t>
      </w:r>
      <w:r>
        <w:rPr>
          <w:rFonts w:ascii="Times New Roman" w:cs="Times New Roman" w:eastAsia="Times New Roman" w:hAnsi="Times New Roman"/>
          <w:sz w:val="18"/>
          <w:szCs w:val="18"/>
          <w:b w:val="1"/>
          <w:bCs w:val="1"/>
          <w:i w:val="1"/>
          <w:iCs w:val="1"/>
          <w:color w:val="auto"/>
        </w:rPr>
        <w:t>“Aegis”</w:t>
      </w:r>
      <w:r>
        <w:rPr>
          <w:rFonts w:ascii="Times New Roman" w:cs="Times New Roman" w:eastAsia="Times New Roman" w:hAnsi="Times New Roman"/>
          <w:sz w:val="18"/>
          <w:szCs w:val="18"/>
          <w:color w:val="auto"/>
        </w:rPr>
        <w:t>),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to issue and sell through or to Aegis, as its exclusive sales agent or principal,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“Placement Shares”</w:t>
      </w:r>
      <w:r>
        <w:rPr>
          <w:rFonts w:ascii="Times New Roman" w:cs="Times New Roman" w:eastAsia="Times New Roman" w:hAnsi="Times New Roman"/>
          <w:sz w:val="18"/>
          <w:szCs w:val="18"/>
          <w:color w:val="auto"/>
        </w:rPr>
        <w:t xml:space="preserve">)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having an aggregate offering price of up to $15.0 million, from time to time during the term of this Agreement and on the terms set forth in this Agreement; provided however, that in no event will the Company issue or sell through Aegis such dollar amount of Placement Shares that would exceed the dollar amount of shares of Common Stock permitted to be sold by the Company under Form S-3, including General Instruction I.B.6 of Form S-3 (if and for so long as applicable) (the </w:t>
      </w:r>
      <w:r>
        <w:rPr>
          <w:rFonts w:ascii="Times New Roman" w:cs="Times New Roman" w:eastAsia="Times New Roman" w:hAnsi="Times New Roman"/>
          <w:sz w:val="18"/>
          <w:szCs w:val="18"/>
          <w:b w:val="1"/>
          <w:bCs w:val="1"/>
          <w:i w:val="1"/>
          <w:iCs w:val="1"/>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Section 1 on the amount of Placement Shares issued and sold under this Agreement will be the sole responsibility of the Company and that Aegis will have no obligation in connection with such compliance, provided that Aegis follows the lawful trading instructions provided by the Company pursuant to any Placement Notice in all material respects. The issuance and sale of Placement Shares through Aegis will be effected pursuant to the Registration Statement (as defined below) filed by the Company and declared effective by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although nothing in this Agreement will be construed as requiring the Company to use the Registration Statement to issue Common Stock. Certain capitalized terms used in this Agreement have the meanings ascribed to them in Section 25.</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has filed with the SEC, in accordance with the provisions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and the rules and regulations thereunder (the </w:t>
      </w:r>
      <w:r>
        <w:rPr>
          <w:rFonts w:ascii="Times New Roman" w:cs="Times New Roman" w:eastAsia="Times New Roman" w:hAnsi="Times New Roman"/>
          <w:sz w:val="18"/>
          <w:szCs w:val="18"/>
          <w:b w:val="1"/>
          <w:bCs w:val="1"/>
          <w:i w:val="1"/>
          <w:iCs w:val="1"/>
          <w:color w:val="auto"/>
        </w:rPr>
        <w:t>“Securities Act Regulations”</w:t>
      </w:r>
      <w:r>
        <w:rPr>
          <w:rFonts w:ascii="Times New Roman" w:cs="Times New Roman" w:eastAsia="Times New Roman" w:hAnsi="Times New Roman"/>
          <w:sz w:val="18"/>
          <w:szCs w:val="18"/>
          <w:color w:val="auto"/>
        </w:rPr>
        <w:t xml:space="preserve">), a registration statement on Form S-3 (File No. 333-272956),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and regulations thereunder. The Company has prepared a prospectus supplement specifically relating to the Placement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Shares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xml:space="preserve">) to the base prospectus included as part of the registration statement. The Company will furnish to Aegis, for use by it, copies of the base prospectus included as part of the registration statement, as supplemented by the Prospectus Supplement, relating to the Placement Shares. Except when the context otherwise requires, such registration statement, and any post-effective amendment thereto, as amended when it became effective, including all documents filed as part thereof or incorporated by reference therein, and including any information contained in a Prospectus (as defined below) subsequently filed with the SEC pursuant to Rule 424(b) under the Securities Act Regulations or deemed to be a part of the registration statement pursuant to Rule 430B or 462(b) of the Securities Act Regulations, or any subsequent registration on Form S-3 filed pursuant to Rule 415(a)(6) under the Securities Act by the Company with respect to the Placement Shares, is herein called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The base prospectus, including all documents incorporated therein by reference, included in the Registration Statement, as it may be supplemented by the Prospectus Supplement, in the form in which the prospectus and/or Prospectus Supplement have most recently been filed by the Company with the SEC pursuant to Rule 424(b) under the Securities Act Regulations, together with any “issuer free writing prospectus” as defined in Rule 433 under the Securities Act (</w:t>
      </w:r>
      <w:r>
        <w:rPr>
          <w:rFonts w:ascii="Times New Roman" w:cs="Times New Roman" w:eastAsia="Times New Roman" w:hAnsi="Times New Roman"/>
          <w:sz w:val="18"/>
          <w:szCs w:val="18"/>
          <w:b w:val="1"/>
          <w:bCs w:val="1"/>
          <w:i w:val="1"/>
          <w:iCs w:val="1"/>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433”</w:t>
      </w:r>
      <w:r>
        <w:rPr>
          <w:rFonts w:ascii="Times New Roman" w:cs="Times New Roman" w:eastAsia="Times New Roman" w:hAnsi="Times New Roman"/>
          <w:sz w:val="18"/>
          <w:szCs w:val="18"/>
          <w:color w:val="auto"/>
        </w:rPr>
        <w:t>), that (i) is a Permitted Free Writing Prospectus (as defined below), (ii) is required to be filed by the SEC, or (iii) is exempt from filing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Rule 433(d)(5)(i), in each case in the form filed or required to be filed with the SEC, or if not required to be filed, in the form retained in the Company’s records pursuant to Rule 433(g), is herein called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Any reference herein to the Registration Statement, the Prospectus, or any amendment or supplement thereto will be deemed to refer to and include the documents incorporated by reference therein, and any reference herein to the terms “amend,” “amendment,” or “supplement” respecting the Registration Statement or the Prospectus will be deemed to refer to and include the filing after the execution hereof of any document with the SEC deemed to be incorporated by reference therein (the </w:t>
      </w:r>
      <w:r>
        <w:rPr>
          <w:rFonts w:ascii="Times New Roman" w:cs="Times New Roman" w:eastAsia="Times New Roman" w:hAnsi="Times New Roman"/>
          <w:sz w:val="18"/>
          <w:szCs w:val="18"/>
          <w:b w:val="1"/>
          <w:bCs w:val="1"/>
          <w:i w:val="1"/>
          <w:iCs w:val="1"/>
          <w:color w:val="auto"/>
        </w:rPr>
        <w:t>“Incorporated Documents”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Agreement, all references to the Registration Statement, the Prospectus, or to any amendment or supplement thereto will be deemed to include the most recent copy filed with the SEC pursuant to its Electronic Data Gathering Analysis and Retrieval System, or if applicable, the Interactive Data Electronic Application system when used by the SEC (collectively,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“Placement”</w:t>
      </w:r>
      <w:r>
        <w:rPr>
          <w:rFonts w:ascii="Times New Roman" w:cs="Times New Roman" w:eastAsia="Times New Roman" w:hAnsi="Times New Roman"/>
          <w:sz w:val="18"/>
          <w:szCs w:val="18"/>
          <w:color w:val="auto"/>
        </w:rPr>
        <w:t>), it will notify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Aegis by email notice (or other method mutually agreed to in writing by the parties) of the number of Placement Shares to be issued, the period during which sales are requested to be made, any limitation on the number of Placement Shares that may be sold in any one (1) Trading Day (as defined below), and any minimum price below which sales may not be made (a </w:t>
      </w:r>
      <w:r>
        <w:rPr>
          <w:rFonts w:ascii="Times New Roman" w:cs="Times New Roman" w:eastAsia="Times New Roman" w:hAnsi="Times New Roman"/>
          <w:sz w:val="18"/>
          <w:szCs w:val="18"/>
          <w:b w:val="1"/>
          <w:bCs w:val="1"/>
          <w:i w:val="1"/>
          <w:iCs w:val="1"/>
          <w:color w:val="auto"/>
        </w:rPr>
        <w:t>“Placement Notice”</w:t>
      </w:r>
      <w:r>
        <w:rPr>
          <w:rFonts w:ascii="Times New Roman" w:cs="Times New Roman" w:eastAsia="Times New Roman" w:hAnsi="Times New Roman"/>
          <w:sz w:val="18"/>
          <w:szCs w:val="18"/>
          <w:color w:val="auto"/>
        </w:rPr>
        <w:t>), the form of which is attached hereto as Schedule 1. The Placement Notice will originate from any of the individuals from the Company set forth on Schedule 3 (with a copy to each of the other individuals from the Company listed on the schedule) and will be addressed to each of the individuals from Aegis set forth on Schedule 3, as Schedule 3 may be amended from time to time. The Placement Notice will be effective unless and until: (a) Aegis declines to accept the terms contained therein for any reason, in its sole discretion, by notice to the Company within two (2) Business Days after the receipt of such Placement Notice; (b) the entire amount of the Placement Shares thereunder have been sold; (c) the Company suspends or terminates the Placement Notice; (d) the Company issues a subsequent Placement Notice with parameters suspending those on the earlier dated Placement Notice; or (e) the Agreement has been terminated under the provisions of Section 13. The amount of any discount, commission, or other compensation to be paid by the Company to Aegis in connection with the sale of the Placement Shares will be calculated in accordance with the terms set forth in Schedule 2. Neither the Company nor Aegis will have any obligation whatsoever respecting a Placement or any Placement Shares unless and until the Company delivers a Placement Notice to Aegis and Aegis does not decline such Placement Notice pursuant to the terms set forth above, and then only upon the terms specified therein and herein. In the event of a conflict between the terms of Section 2, Section 3, and Section 4 of this Agreement and the terms of a Placement Notice, the terms of the Placement Notice will control, provided that no Placement Notice may reduce Aegis’s compensation terms set forth in Schedule 2 or impose additional obligations on Aegis beyond those contemplated in Section 2, Section 3, and Section 4.</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u w:val="single" w:color="auto"/>
          <w:color w:val="auto"/>
        </w:rPr>
        <w:t>Sale of Placement Shares by Aegis</w:t>
      </w:r>
      <w:r>
        <w:rPr>
          <w:rFonts w:ascii="Times New Roman" w:cs="Times New Roman" w:eastAsia="Times New Roman" w:hAnsi="Times New Roman"/>
          <w:sz w:val="18"/>
          <w:szCs w:val="18"/>
          <w:color w:val="auto"/>
        </w:rPr>
        <w:t>. Subject to the terms and conditions of this Agreement, Aegis, for the period specified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Placement Notice, will use its commercially reasonable efforts consistent with its normal trading and sales practices and applicable state and federal laws, rules, and regulations and the rules of the Nasdaq Capital Market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to sell the Placement Shares up to the amount specified, and otherwise in accordance with the terms of such Placement Notice. Aegis will provide written confirmation to the Company no later than the opening of the Trading Day immediately following the Trading Day on which it has sold Placement Shares hereunder, setting forth the number of Placement Shares sold on such day, the compensation payable by the Company to Aegis pursuant to Section 2 for such sales, and the Net Proceeds (as defined below) payable to the Company, with an itemization of the deductions made by Aegis (as set forth in Section 5(b)) from the gross proceeds that it receives from such sales. Subject to the terms of the Placement Notice, Aegis may sell Placement Shares by any method permitted by law deemed to be an “at the market” offering as defined in Rule 415(a)(4) of the Securities Act Regulations, including sales made directly on the Exchange or on any other existing trading market or directly to Aegis as principal in negotiated transactions for the Common Stock or to or through a market maker. Subject to the terms of a Placement Notice, Aegis may also sell Placement Shares by any other method permitted by law, including in privately negotiated transactions, with the Company’s consent. </w:t>
      </w:r>
      <w:r>
        <w:rPr>
          <w:rFonts w:ascii="Times New Roman" w:cs="Times New Roman" w:eastAsia="Times New Roman" w:hAnsi="Times New Roman"/>
          <w:sz w:val="18"/>
          <w:szCs w:val="18"/>
          <w:b w:val="1"/>
          <w:bCs w:val="1"/>
          <w:i w:val="1"/>
          <w:iCs w:val="1"/>
          <w:color w:val="auto"/>
        </w:rPr>
        <w:t xml:space="preserve">“Trading Day” </w:t>
      </w:r>
      <w:r>
        <w:rPr>
          <w:rFonts w:ascii="Times New Roman" w:cs="Times New Roman" w:eastAsia="Times New Roman" w:hAnsi="Times New Roman"/>
          <w:sz w:val="18"/>
          <w:szCs w:val="18"/>
          <w:color w:val="auto"/>
        </w:rPr>
        <w:t>means any day on which Common Stock is purchased and sold on the principal market on which the Common Stock is listed or quoted.</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The Company or Aegis may, upon notice to the other party in writing (including by email correspondence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individuals of the other party set forth on Schedule 3, if receipt of such correspondence is actually acknowledged by any of the individuals to whom the notice is sent, other than via auto-reply) or by telephone (confirmed immediately by verifiable email correspondence to each of the individuals of the other party set forth on Schedule 3), suspend any sale of Placement Shares; provided, however, that such suspension will not affect or impair any party’s obligations respecting any Placement Shares sold hereunder prior to the receipt of such notice. While a suspension is in effect, any obligation under Section 7(l), Section 7(m), and Section 7(n) with respect to delivery of certificates, opinions and comfort letters to Aegis shall be waived; provided, however, that upon termination of such suspension and resumption of sales, the Company shall deliver updated certificates, opinions, and comfort letters as required under Section 7(l), Section 7(m), and Section 7(n) before any further sales may occur.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will be effective against any other party unless it is made to one of the individuals named on Schedule 3 hereto, as such schedule may be amended from time to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u w:val="single" w:color="auto"/>
          <w:color w:val="auto"/>
        </w:rPr>
        <w:t>Sale and Delivery to Aegis; Settlement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3"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upon Aegis’s acceptance of the terms of a Placement Notice, and unless the sale of the Placement Shares described therein has been declined, suspended, or otherwise terminated in accordance with the terms of this Agreement, Aegis,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and otherwise in accordance with the terms of such Placement Notice. The Company acknowledges and agrees that: (i) there can be no assurance that Aegis will be successful in selling Placement Shares; (ii) Aegis will incur no liability or obligation to the Company or any other Person (as defined herein) if it does not sell Placement Shares for any reason other than a failure by Aegis to use its commercially reasonable efforts consistent with its normal trading and sales practices and applicable law and regulations to sell such Placement Shares as required under this Agreement; and (iii) Aegis will be under no obligation to purchase Placement Shares on a principal basis pursuant to this Agreement, except as otherwise agreed by Aegis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both"/>
        <w:ind w:firstLine="1304"/>
        <w:spacing w:after="0" w:line="255" w:lineRule="auto"/>
        <w:tabs>
          <w:tab w:leader="none" w:pos="15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xml:space="preserve">. Unless otherwise specified in the applicable Placement Notice, settlement for sales of Placement Shares will occur on the second (2nd) Trading Day (or such earlier day as is industry practice for regular-way trading) following the date on which such sales are made (each, a </w:t>
      </w:r>
      <w:r>
        <w:rPr>
          <w:rFonts w:ascii="Times New Roman" w:cs="Times New Roman" w:eastAsia="Times New Roman" w:hAnsi="Times New Roman"/>
          <w:sz w:val="18"/>
          <w:szCs w:val="18"/>
          <w:b w:val="1"/>
          <w:bCs w:val="1"/>
          <w:i w:val="1"/>
          <w:iCs w:val="1"/>
          <w:color w:val="auto"/>
        </w:rPr>
        <w:t>“Settlement Date”</w:t>
      </w:r>
      <w:r>
        <w:rPr>
          <w:rFonts w:ascii="Times New Roman" w:cs="Times New Roman" w:eastAsia="Times New Roman" w:hAnsi="Times New Roman"/>
          <w:sz w:val="18"/>
          <w:szCs w:val="18"/>
          <w:color w:val="auto"/>
        </w:rPr>
        <w:t xml:space="preserve">). Aegis shall notify the Company of each sale of Placement Shares no later than the opening of the Trading Day immediately following the Trading Day on which Aegis sold Placement Shares.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i w:val="1"/>
          <w:iCs w:val="1"/>
          <w:color w:val="auto"/>
        </w:rPr>
        <w:t>“Net Proceeds”</w:t>
      </w:r>
      <w:r>
        <w:rPr>
          <w:rFonts w:ascii="Times New Roman" w:cs="Times New Roman" w:eastAsia="Times New Roman" w:hAnsi="Times New Roman"/>
          <w:sz w:val="18"/>
          <w:szCs w:val="18"/>
          <w:color w:val="auto"/>
        </w:rPr>
        <w:t>) will be equal to the aggregate sales price received by Aegis, after deduction for: (i) Aegis’s commission, discount, or other compensation for such sales payable by the Company pursuant to Section 2 hereof, and (ii) any transaction fees imposed by any governmental or self-regulatory organization for such sales.</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or will cause its transfer agent to, electronically transfer the Placement Shares being sold by crediting Aegis’s or its designee’s account (provided Aegis will have given the Company written notice of such designee at least one (1) Business Day prior to the Settlement Date) at The Depository Trust Company through its Deposit and Withdrawal at Custodian System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or by such other means of delivery as may be mutually agreed upon by the parties hereto, which in all cases will be freely tradable, transferable, registered shares in good deliverable form. On each Settlement Date, Aegis will deliver the related Net Proceeds in same-day funds to an account designated by the Company on, or prior to, the Settlement Date. Aegis shall be responsible for providing DWAC instructions or instructions for delivery by other means with regard to the transfer of the Placement Agent being sold. The Company agrees that if the Company, or its transfer agent (if applicable), defaults in its obligation to deliver duly authorized Placement Shares on a Settlement Date through no fault of Aegis, that in addition to and in no way limiting the rights and obligations set forth in Section 11(a) hereto, it will: (i) hold Aegis harmless against any loss, claim, damage, or reasonable and documented expense (including reasonable and documented legal fees and expenses), as incurred, arising out of or in connection with such default by the Company or its transfer agent (if applicable); and (ii) pay to Aegis (without duplication) any commission, discount, or other compensation to which it would otherwise have been entitled absent such default.</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will the Company cause or request the offer or sale of any Placement Shares if, after giving effect to the sale of such Placement Shares, the aggregate gross sales proceeds of Placement Shares sold pursuant to this Agreement would exceed the lesser of: (i) together with all sales of Placement Shares under this Agreement, the Maximum Amount; or (ii) the amount authorized from time to time to be issued and sold under this Agreement by the Company’s board of directors, a duly authorized committee thereof, or a duly authorized executive committee, and notified to Aegis in writing. Under no circumstances will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Aegis in writing.</w:t>
      </w:r>
    </w:p>
    <w:p>
      <w:pPr>
        <w:spacing w:after="0" w:line="18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Aegis that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as of each Applicable Time (as defined below), unless such representation, warranty or agreement specifies a different date or time:</w:t>
      </w:r>
    </w:p>
    <w:p>
      <w:pPr>
        <w:spacing w:after="0" w:line="159" w:lineRule="exact"/>
        <w:rPr>
          <w:sz w:val="20"/>
          <w:szCs w:val="20"/>
          <w:color w:val="auto"/>
        </w:rPr>
      </w:pPr>
    </w:p>
    <w:p>
      <w:pPr>
        <w:jc w:val="both"/>
        <w:ind w:firstLine="1304"/>
        <w:spacing w:after="0" w:line="25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Company and, assuming no act or omission on the part of Aegis that would make such statement untrue, the transactions contemplated by this Agreement meet the requirements for and comply with the conditions for the use of Form S-3 under the Securities Act. The Registration Statement has been filed with the SEC and has been declared effective under the Securities Act. The Prospectus Supplement will name Aegis as the agent in the section entitled “Plan of Distribution.” The Company has not received, and has no notice of, any order of the SEC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or will be so described or filed. Copies of the Registration Statement, the Prospectus, and any such amendments or supplements and all documents incorporated by reference therein that were filed with the SEC on or prior to the date of this Agreement have been delivered, or are available through EDGAR, to Aegis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Aegis has consented in writing in advance, which consent shall not be unreasonably withheld or delayed. The Common Stock is currently listed on the Exchange under the trading symbol “XPON.” Except as disclosed in the Registration Statement, including the Incorporated Documents, the Company has not received notice from the Exchange to the effect that the Company is not in compliance with the Exchange’s listing or maintenance requirements. Except as disclosed in the Registration Statement, including the Incorporated Documents, or the Prospectus, and subject to fluctuations in the Company’s stock price and revisions to the rules of the Exchange, the Company has no reason to believe that it will not in the foreseeable future continue to be in compliance with all such listing and maintenance requirements.</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Registration Statement, when it became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SEC, contain an untrue statement of a material fact or omit to state a material fact required to be stated in such document or necessary to make the statements in such document, in light of the circumstances under which they were made, not misleading. The foregoing will not apply to statements in, or omissions from, any such document made in reliance upon, and in conformity with, written information furnished to the Company by Aegis specifically for use in the preparation thereof, which information is limited to the information set forth in the section of the Prospectus Supplement entitled “Plan of Distribution.” No stop order suspending the effectiveness of the Registration Statement or any post-effective amendment thereto has been issued, and no proceeding for that purpose or pursuant to Section 8A of the Securities Act has been initiated or threatened by the SEC.</w:t>
      </w:r>
    </w:p>
    <w:p>
      <w:pPr>
        <w:spacing w:after="0" w:line="19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661" w:right="339" w:bottom="28" w:gutter="0" w:footer="0" w:header="0"/>
        </w:sectPr>
      </w:pPr>
    </w:p>
    <w:bookmarkStart w:id="7" w:name="page8"/>
    <w:bookmarkEnd w:id="7"/>
    <w:p>
      <w:pPr>
        <w:jc w:val="both"/>
        <w:ind w:left="-1120" w:firstLine="1304"/>
        <w:spacing w:after="0" w:line="252" w:lineRule="auto"/>
        <w:tabs>
          <w:tab w:leader="none" w:pos="4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consolidated financial statements of the Company included or incorporated by reference in the Registration Statement, the Prospectus, and the Issuer Free Writing Prospectuses, if any, together with the related notes and schedules, complied as to form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consolidated financial position of the Company and the Subsidiaries as of the dates indicated and the consolidated results of operations and cash flows of the Company for the periods specified (subject, in the case of unaudited statements, to normal year-end audit adjustments that will not be material, either individually or in the aggregate); the other financial and statistical data respecting the Company and the Subsidiaries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(including the exhibits thereto) and the Prospectus that are required to be described in the Registration Statement or the Prospectus (including exhibits thereto and Incorporated Documents); and all disclosures contained or incorporated by reference in the Registration Statement, the Prospectus, and the Issuer Free Writing Prospectuses, if any, regarding “non-GAAP financial measures” (as such term is defined by the rules and regulations of the SEC) comply in all material respects with Regulation G of the Exchange Act and Item 10 of Regulation S-K under the Securities Act, to the extent applicable.</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EDGAR Filing</w:t>
      </w:r>
      <w:r>
        <w:rPr>
          <w:rFonts w:ascii="Times New Roman" w:cs="Times New Roman" w:eastAsia="Times New Roman" w:hAnsi="Times New Roman"/>
          <w:sz w:val="18"/>
          <w:szCs w:val="18"/>
          <w:color w:val="auto"/>
        </w:rPr>
        <w:t>. The Prospectus delivered to Aegis for use in connection with the sale of the Placement Shares pursuant to this Agreement will be identical to the versions of the Prospectus created to be transmitted to the SEC for filing via EDGAR, except to the extent permitted by Regulation S-T.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41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xml:space="preserve">. The Company and each of its Subsidiaries are, and will be, duly organized, validly existing as a corporation, limited partnership, limited liability company, or other legal entity, and in good standing under the laws of their respective jurisdictions of organization. The Company and each of its Subsidiaries are, and will be, duly qualified as a foreign corporation for transaction of business and in good standing under the laws of each other jurisdiction in which their respective ownership or lease of property or the conduct of their respective businesses requires such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or results of operations of the Company and the Subsidiaries (as defined below) taken as a whole, or prevent or materially interfere with consummation of the transactions contemplated hereby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left="-1120" w:firstLine="1304"/>
        <w:spacing w:after="0" w:line="262" w:lineRule="auto"/>
        <w:tabs>
          <w:tab w:leader="none" w:pos="4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The subsidiaries set forth on Schedule 4 (collectively, the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are the Company’s only subsidiaries. Except as set forth in the Prospectus, the Company owns, directly or indirectly, all of the equity interests of the Subsidiaries free and clear of any material lien, charge, security interest, encumbrance, right of first refusal, or other restriction, and all the equity interests of the Subsidiaries are validly issued and are fully paid, nonassessable, and free of preemptive and similar rights.</w:t>
      </w:r>
    </w:p>
    <w:p>
      <w:pPr>
        <w:spacing w:after="0" w:line="180"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similar agreement or instrument to which the Company or any of its Subsidiaries is a party, by which the Company or any of its Subsidiaries is bound, or to which any of the property or assets of the Company or any of its Subsidiaries are subject; or (iii) in violation of any law or statute or any judgment, order, rule, or regulation of any court, arbitrator, or governmental or regulatory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is a party is in default in any respect thereunder where such default would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respective dates as of which information is given in the Registration Statement, the Prospectus, and the Free Writing Prospectuses, if any (including any document deemed incorporated by reference therein), there has not been: (i) any Material Adverse Effect, or the occurrence of any development that is reasonably likely to result in a prospective Material Adverse Effect, in or affecting the business, properties, management, financial, condition (financial or otherwise), results of operations, or prospects of the Company and the Subsidiaries taken as a whole; (ii) any transaction that is material to the Company and the Subsidiaries taken as a whole; (iii) any obligation or liability, direct or contingent (including any off-balance sheet obligations), incurred by the Company or any Subsidiary, that is material to the Company and the Subsidiaries taken as a whole; (iv) any material change in the capital stock (other than (A) the grant of awards under equity incentive plans, (B) changes in the number of shares of outstanding Common Stock due to exercise or conversion of securities exercisable for or convertible into Common Stock outstanding as of the date of this Agreement, (C) any repurchase of capital stock of the Company, or (D) as a result of the sale of Placement Shares)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4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issued and outstanding shares of capital stock of the Company have been validly issued, are fully paid, and nonassessable. The Company has an authorized, issued, and outstanding capitalization as set forth in the Registration Statement and the Prospectus as of the dates referred to therein (other than (i) the grant of additional equity awards under the Company’s then existing stock plans, (ii) changes in the number of outstanding shares of Common Stock of the Company due to the issuance of shares upon the exercise or conversion of securities exercisable for, or convertible into, Common Stock outstanding on the date hereof, or (iii) as a result of the issuance of Placement Shares pursuant to this Agreement), and such authorized capital stock conforms in all material respects to the description thereof set forth in the Registration Statement and the Prospectus. The description of the Common Stock in the Registration Statement and the Prospectus is complete and accurate in all material respects. Except as disclosed in or contemplated by the Registration Statement or the Prospectus, as of the date referred to therein, the Company did not have reserved or available for issuance any shares of Common Stock in respect of options, any rights or warrants to subscribe for, any securities or obligations convertible into or exchangeable for, or any contracts or commitments to issue or sell, any shares of capital stock or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280670</wp:posOffset>
            </wp:positionV>
            <wp:extent cx="713232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0120"/>
          </w:cols>
          <w:pgMar w:left="1440" w:top="661" w:right="339" w:bottom="38" w:gutter="0" w:footer="0" w:header="0"/>
        </w:sectPr>
      </w:pPr>
    </w:p>
    <w:bookmarkStart w:id="8" w:name="page9"/>
    <w:bookmarkEnd w:id="8"/>
    <w:p>
      <w:pPr>
        <w:jc w:val="both"/>
        <w:ind w:firstLine="1304"/>
        <w:spacing w:after="0" w:line="256" w:lineRule="auto"/>
        <w:tabs>
          <w:tab w:leader="none" w:pos="155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11 hereof may be limited by federal or state securities laws and public policy considerations in respect thereof.</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1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Placement Shares</w:t>
      </w:r>
      <w:r>
        <w:rPr>
          <w:rFonts w:ascii="Times New Roman" w:cs="Times New Roman" w:eastAsia="Times New Roman" w:hAnsi="Times New Roman"/>
          <w:sz w:val="18"/>
          <w:szCs w:val="18"/>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authorized, validly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court or arbitrator or any governmental or regulatory authority having jurisdiction over the Company is required for the execution, delivery, and performance by the Company of this Agreement, and the issuance and sale by the Company of the Placement Shares as contemplated hereby, except for such consents, approvals, authorizations, orders, and registrations or qualifications as may have been obtained or be required under applicable state securities laws or by the bylaws and rules of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or the Exchange in connection with the sale of the Placement Shares by Aegis.</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xml:space="preserve">. Except as set forth in the Registration Statement or the Prospectus: (i) no person, as such term is defined in Rule 1-02 of Regulation S-X promulgated under the Securities Act (each, a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has the right, contractual or otherwise, to cause the Company to issue or sell to such Person any Common Stock or shares of any other capital stock or other securities of the Company (other than upon the vesting of restricted stock units or exercise of options or warrants to purchase Common Stock or upon the exercise of options that may be granted from time to time under the Company’s stock option plans); (ii) no Person has any preemptive rights, rights of first refusal, or any other rights (whether pursuant to a “poison pill” provision or otherwise) to purchase any Common Stock or shares of any other capital stock or other securities of the Company from the Company;</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3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Aegis, no Person has the right to act as an underwriter or as a financial advisor to the Company in connection with the offer and sale of the Placement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for such rights as have been waived in writing on or prior to the date hereof.</w:t>
      </w:r>
    </w:p>
    <w:p>
      <w:pPr>
        <w:spacing w:after="0" w:line="182"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Public Accountant</w:t>
      </w:r>
      <w:r>
        <w:rPr>
          <w:rFonts w:ascii="Times New Roman" w:cs="Times New Roman" w:eastAsia="Times New Roman" w:hAnsi="Times New Roman"/>
          <w:sz w:val="18"/>
          <w:szCs w:val="18"/>
          <w:color w:val="auto"/>
        </w:rPr>
        <w:t xml:space="preserve">. M&amp;K CPAS, PLLC (the </w:t>
      </w:r>
      <w:r>
        <w:rPr>
          <w:rFonts w:ascii="Times New Roman" w:cs="Times New Roman" w:eastAsia="Times New Roman" w:hAnsi="Times New Roman"/>
          <w:sz w:val="18"/>
          <w:szCs w:val="18"/>
          <w:b w:val="1"/>
          <w:bCs w:val="1"/>
          <w:i w:val="1"/>
          <w:iCs w:val="1"/>
          <w:color w:val="auto"/>
        </w:rPr>
        <w:t>“Accountants”</w:t>
      </w:r>
      <w:r>
        <w:rPr>
          <w:rFonts w:ascii="Times New Roman" w:cs="Times New Roman" w:eastAsia="Times New Roman" w:hAnsi="Times New Roman"/>
          <w:sz w:val="18"/>
          <w:szCs w:val="18"/>
          <w:color w:val="auto"/>
        </w:rPr>
        <w:t xml:space="preserve">), whose reports on the consolidated financial statements of the Company are filed with the SEC as part of the Company’s most recent Annual Report on Form 10-K and incorporated by reference into the Registration Statement, are and, during the periods covered by its report, were an independent registered public accounting firm within the meaning of the Securities Act and the Public Company Accounting Oversight Board (United States). To the Company’s knowledge, the Accountants are not in violation of the auditor independence requirements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respecting the Company.</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 of Agreements</w:t>
      </w:r>
      <w:r>
        <w:rPr>
          <w:rFonts w:ascii="Times New Roman" w:cs="Times New Roman" w:eastAsia="Times New Roman" w:hAnsi="Times New Roman"/>
          <w:sz w:val="18"/>
          <w:szCs w:val="18"/>
          <w:color w:val="auto"/>
        </w:rPr>
        <w:t>. All agreements between the Company and third parties expressly referenced in the Prospectus, other than such agreements that have expired by their terms or whose termination is disclosed in documents filed by the Company on EDGAR, are, to the Company’s knowledge, legal, valid, and binding obligations of the Company enforceable against the Company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Except as disclosed in the Registration Statement and the Prospectus, neither the Company nor any of its Subsidiaries has failed to file with the applicable governmental authorities any required filing, declaration, listing, registration, report or submission, except for such failures that, individually or in the aggregate, would not reasonably be expected to have a Material Adverse Effect; except as disclosed in the Registration Statement and the Prospectus,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have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Except as set forth in the Registration Statement or the Prospectus: (i) there are no legal, governmental, or regulatory actions, suits, or proceedings pending or, to the Company’s knowledge, any legal, governmental, or regulatory investigations to which the Company, or a Subsidiary, or any of their respective directors, officers, or controlling Persons is a party or to which any property of the Company or any of its Subsidiaries is the subject that, individually or in the aggregate, if determined adversely to the Company or any of its Subsidiaries, (A) would reasonably be expected to have a Material Adverse Effect, (B) would materially and adversely affect the ability of the Company to perform its obligations under this Agreement, or</w:t>
      </w:r>
    </w:p>
    <w:p>
      <w:pPr>
        <w:spacing w:after="0" w:line="3"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would reasonably be expected to affect the validity or enforceability of this Agreement or any Placement Shares issued hereunder; (ii) to the Company’s knowledge, no actions, suits, or proceedings are threatened or contemplated by any governmental or regulatory authority or threatened by others against the Company, a Subsidiary, or any of their respective directors, officers, or controlling Persons that, individually or in the aggregate, if determined adversely to the Company or any of its Subsidiaries, would reasonably be expected to have a Material Adverse Effect; (iii) there are no current or pending legal, governmental, or regulatory, actions, suits, proceedings or, to the Company’s knowledge, investigations that are required under the Securities Act to be described in the Prospectus that are not described in the Prospectus; and (iv) there are no contracts or other documents that are required under the Securities Act to be filed as exhibits to the Registration Statement that are not so filed.</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3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Except as set forth in the Registration Statement or the Prospectus, the Company and each of its Subsidiaries possess or have made all filings, applications, and submissions required by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where the failure to possess, obtain, or make the same would not, individually or in the aggregate, reasonably be expected to have a Material Adverse Effect. Except as disclosed in the Registration Statement or the Prospectus, neither the Company nor its Subsidiaries have received written notice of any proceeding relating to revocation or modification of any such Permit or have any reason</w:t>
      </w:r>
    </w:p>
    <w:p>
      <w:pPr>
        <w:sectPr>
          <w:pgSz w:w="11900" w:h="16838" w:orient="portrait"/>
          <w:cols w:equalWidth="0" w:num="1">
            <w:col w:w="11240"/>
          </w:cols>
          <w:pgMar w:left="320" w:top="661" w:right="339" w:bottom="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to believe that such Permit will not be renewed in the ordinary course, except when the failure to obtain any such renewal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1304"/>
        <w:spacing w:after="0" w:line="258" w:lineRule="auto"/>
        <w:tabs>
          <w:tab w:leader="none" w:pos="15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S-3 Eligibility</w:t>
      </w:r>
      <w:r>
        <w:rPr>
          <w:rFonts w:ascii="Times New Roman" w:cs="Times New Roman" w:eastAsia="Times New Roman" w:hAnsi="Times New Roman"/>
          <w:sz w:val="18"/>
          <w:szCs w:val="18"/>
          <w:color w:val="auto"/>
        </w:rPr>
        <w:t>. (i) At the time of filing the Registration Statement; and (ii) if applicable,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requirements for use of Form S-3 under the Securities Act, up to the Maximum Amount. The Company is not a shell company (as defined in Rule 405 under the Securities Act) and has never been a shell company.</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Defaults</w:t>
      </w:r>
      <w:r>
        <w:rPr>
          <w:rFonts w:ascii="Times New Roman" w:cs="Times New Roman" w:eastAsia="Times New Roman" w:hAnsi="Times New Roman"/>
          <w:sz w:val="18"/>
          <w:szCs w:val="18"/>
          <w:color w:val="auto"/>
        </w:rPr>
        <w:t>. Except as set forth in the Registration Statement and Prospectus, neither the Company nor any of the Subsidiaries has defaulted on any installment on indebtedness for borrowed money or on any rental on one or more long-term leases, which defaults, individually or in the aggregate, would reasonably be expected to have a Material Adverse Effect. Except as set forth in the Registration Statement and Prospectus,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Market Activities</w:t>
      </w:r>
      <w:r>
        <w:rPr>
          <w:rFonts w:ascii="Times New Roman" w:cs="Times New Roman" w:eastAsia="Times New Roman" w:hAnsi="Times New Roman"/>
          <w:sz w:val="18"/>
          <w:szCs w:val="18"/>
          <w:color w:val="auto"/>
        </w:rPr>
        <w:t>. Neither the Company nor any of the Subsidiaries, nor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 Relationships</w:t>
      </w:r>
      <w:r>
        <w:rPr>
          <w:rFonts w:ascii="Times New Roman" w:cs="Times New Roman" w:eastAsia="Times New Roman" w:hAnsi="Times New Roman"/>
          <w:sz w:val="18"/>
          <w:szCs w:val="18"/>
          <w:color w:val="auto"/>
        </w:rPr>
        <w:t>. Neither the Company nor any of the Subsidiaries or any related entities: (i) are required to register as a “broker” or “dealer” in accordance with the provisions of the Exchange Act; or (ii) directly or indirectly through one or more intermediaries, control or are a “person associated with a member” or “associated person of a member” (within the meaning set forth in the FINRA rules). To the Company’s knowledge, there are no affiliations or associations between any member of FINRA and any of the Company’s officers, directors or 10% or greater security holders, except as set forth in the Registration Statement. All of the information (including, but not limited to, information regarding affiliations, security ownership and trading activity) provided to Aegis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Rule 5110 of FINRA in connection with the transactions contemplated by this Agreement is true, complete and correct, and copies of any Company filings required to be filed with FINRA have been filed with the Commission or delivered to the Sales Agent for filing with</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Aegis or legal counsel for Aegis for any legal, tax, or accounting advice in connection with the offering and sale of the Placement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each of its Subsidiaries have filed all federal, state, local, and foreign tax returns that have been required to be filed and paid all taxes shown thereon through the date hereof, to the extent that such taxes have become due and are not being contested in good faith by appropriate proceedings, except when the failure to do so would not reasonably be expected to have a Material Adverse Effect. Except as otherwise disclosed in or contemplated by the Registration Statement or the Prospectus, no tax deficiency has been determined adversely to the Company or any of its Subsidiaries that has had, or would reasonably be expected to have, individually or in the aggregate, a Material Adverse Effect. The Company has no knowledge of any federal, state, or other governmental tax deficiency, penalty, or assessment that has been or might be asserted or threatened against it that could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The Company and each of its Subsidiaries have good and defensible title to all of their real and personal property owned by them that are material to the business of the Company or such Subsidiary, or to the Company’s financial condition, in each case, free and clear of all liens, encumbrances, and defects, except as described in the Registration Statement and Prospectus or that do not materially affect the value of the properties of the Company and its Subsidiaries, considered as one enterprise, and do not interfere in any material respect with the use made and proposed to be made of such properties by the Company and its Subsidiaries, considered as one enterprise; and all of the leases, subleases, and other rights under which the Company or any of its Subsidiaries holds or uses properties described in the Registration Statement and Prospectus are in full force and effect, with such exceptions as would not reasonably be expected to have a Material Adverse Effect, and neither the Company nor any of its Subsidiaries has any notice of any material claim of any sort that has been asserted by anyone adverse to the rights of the Company or its Subsidiaries under any of the leases, subleases, and other rights mentioned above, or affecting or questioning the rights of the Company or any Subsidiary thereof to the continued possession or use of the leased or subleased premises or the premises granted by leases, subleases, and other rights. The Company and each of its Subsidiaries have the consents, easements, rights-of-way, or licenses from any Person as are necessary to enable them to conduct their business in the manner described in the Registration Statement and the Prospectus, subject to such qualifications as may be set forth in the Registration Statement and the Prospectus, and except for the consents, easements, rights-of-way, or licenses the lack of which would not have, individually or in the aggregate, a Material Adverse Effect.</w:t>
      </w:r>
    </w:p>
    <w:p>
      <w:pPr>
        <w:spacing w:after="0" w:line="197" w:lineRule="exact"/>
        <w:rPr>
          <w:sz w:val="20"/>
          <w:szCs w:val="20"/>
          <w:color w:val="auto"/>
        </w:rPr>
      </w:pPr>
    </w:p>
    <w:p>
      <w:pPr>
        <w:jc w:val="both"/>
        <w:ind w:firstLine="1304"/>
        <w:spacing w:after="0" w:line="252"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Except as set forth in the Registration Statement or the Prospectus, to the Company’s knowledge, the Company and its Subsidiaries own or possess adequate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except as disclosed in writing to Aegis, the Company and any of its Subsidiaries have not received any written notice of any claim of infringement or conflict that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its Subsidiaries’ rights in or to or the validity of the scope of any of the Company’s or its Subsidiaries’ material patents, patent applications, or proprietary information; to the Company’s knowledge, no other entity or individual has any right or claim in any of the Company’s or its Subsidiaries’ owned, material patents, patent applications, or any patent to be issued therefrom by virtue of any contract, license, or other agreement entered into between such entity or individual and the Company or a Subsidiary or by any non-contractual obligation of the Company or a Subsidiary, other than by written licenses granted by the Company or a Subsidiary; the Company and its Subsidiaries have not received any written notice of any claim challenging the rights of the Company or a Subsidiary in or to any Intellectual Property owned, licensed, or optioned by the Company or such Subsidiary that, if the subject of an unfavorable decision, would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970"/>
                    </a:xfrm>
                    <a:prstGeom prst="rect">
                      <a:avLst/>
                    </a:prstGeom>
                    <a:noFill/>
                  </pic:spPr>
                </pic:pic>
              </a:graphicData>
            </a:graphic>
          </wp:anchor>
        </w:drawing>
      </w:r>
    </w:p>
    <w:p>
      <w:pPr>
        <w:sectPr>
          <w:pgSz w:w="11900" w:h="16838" w:orient="portrait"/>
          <w:cols w:equalWidth="0" w:num="1">
            <w:col w:w="11240"/>
          </w:cols>
          <w:pgMar w:left="320" w:top="661" w:right="339" w:bottom="39" w:gutter="0" w:footer="0" w:header="0"/>
        </w:sectPr>
      </w:pPr>
    </w:p>
    <w:bookmarkStart w:id="11" w:name="page12"/>
    <w:bookmarkEnd w:id="11"/>
    <w:p>
      <w:pPr>
        <w:spacing w:after="0" w:line="40" w:lineRule="exact"/>
        <w:rPr>
          <w:sz w:val="20"/>
          <w:szCs w:val="20"/>
          <w:color w:val="auto"/>
        </w:rPr>
      </w:pPr>
    </w:p>
    <w:p>
      <w:pPr>
        <w:jc w:val="both"/>
        <w:ind w:left="-8" w:firstLine="1304"/>
        <w:spacing w:after="0" w:line="253" w:lineRule="auto"/>
        <w:tabs>
          <w:tab w:leader="none" w:pos="163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Except as set forth in the Registration Statement or the Prospectus, the Company and its Subsidiaries: (i) are in compliance with any and all applicable federal, state, local, and foreign laws, rules, regulations, decisions, and orders relating to the protection of human health and safety, the environment, hazardous or toxic substances or wastes, pollutants, or contaminants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as described in the Registration Statement and the Prospectus;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 and (iv) there are no costs or liabilities arising under Environmental Laws respecting the operation of the Company’s and each of its Subsidiaries’ properties (including any capital or operating expenditures required for clean-up or closure of the properties, compliance with Environmental Laws, any permit, license, or approval or any related legal constraints or operating activities, and any potential liabilities of third parties assumed under contract by the Company or any of its Subsidiaries) that would,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8" w:firstLine="1304"/>
        <w:spacing w:after="0" w:line="257" w:lineRule="auto"/>
        <w:tabs>
          <w:tab w:leader="none" w:pos="16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and each of its Subsidiaries maintain systems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3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access to assets is permitted only in accordance with management’s general or specific authorization; and (iv) the recorded accountability for assets is compared with the existing assets at reasonable intervals and appropriate action is taken respecting any differences. Except as disclosed in the Prospectus, the Company is not aware of any material weaknesses in its internal control over financial reporting.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provide reasonable assurance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controls and procedures as of a date within 90 days prior to the filing date of the Form 10-K for the fiscal year most recently ended (such date, the </w:t>
      </w:r>
      <w:r>
        <w:rPr>
          <w:rFonts w:ascii="Times New Roman" w:cs="Times New Roman" w:eastAsia="Times New Roman" w:hAnsi="Times New Roman"/>
          <w:sz w:val="18"/>
          <w:szCs w:val="18"/>
          <w:b w:val="1"/>
          <w:bCs w:val="1"/>
          <w:i w:val="1"/>
          <w:iCs w:val="1"/>
          <w:color w:val="auto"/>
        </w:rPr>
        <w:t>“Evaluation Date”</w:t>
      </w:r>
      <w:r>
        <w:rPr>
          <w:rFonts w:ascii="Times New Roman" w:cs="Times New Roman" w:eastAsia="Times New Roman" w:hAnsi="Times New Roman"/>
          <w:sz w:val="18"/>
          <w:szCs w:val="18"/>
          <w:color w:val="auto"/>
        </w:rPr>
        <w:t>). The Company presented in its Form 10-K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Securities Act). Except as disclosed in the Company’s public filings with the SEC, to the knowledge of the Company, the Company’s “internal controls over financial reporting” and “disclosure controls and procedures” are effective.</w:t>
      </w:r>
    </w:p>
    <w:p>
      <w:pPr>
        <w:spacing w:after="0" w:line="190"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16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There is and has been no failure on the part of the Company or, to the knowledge of the Company, any of the Company’s directors or officers, in their capacities as such, to comply in all material respects with any applicable provisions of the Sarbanes-Oxley Act and the applicable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respecting all reports, schedules, forms, statements, and other documents required to be filed by it or furnished by it to the SEC during the 12 months prior to the date of this Agreement. For purposes of the preceding sentence, “principal executive officer” and “principal financial officer” will have the meanings given to such terms in the Sarbanes-Oxley Act.</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165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of the Subsidiaries has incurred any liability for any finder’s fees, brokerage commissions, or similar payments in connection with the transactions herein contemplated, except as may otherwise exist respecting Aegis pursuant to this Agreement.</w:t>
      </w:r>
    </w:p>
    <w:p>
      <w:pPr>
        <w:spacing w:after="0" w:line="175" w:lineRule="exact"/>
        <w:rPr>
          <w:rFonts w:ascii="Times New Roman" w:cs="Times New Roman" w:eastAsia="Times New Roman" w:hAnsi="Times New Roman"/>
          <w:sz w:val="18"/>
          <w:szCs w:val="18"/>
          <w:color w:val="auto"/>
        </w:rPr>
      </w:pPr>
    </w:p>
    <w:p>
      <w:pPr>
        <w:ind w:left="-8" w:firstLine="1304"/>
        <w:spacing w:after="0" w:line="282" w:lineRule="auto"/>
        <w:tabs>
          <w:tab w:leader="none" w:pos="15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 labor disturbance by or dispute with employees of the Company or any of its Subsidiaries exists or, to the knowledge of the Company, is threatened that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163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xml:space="preserve">.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163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xml:space="preserve">. To the knowledge of the Company,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agency having jurisdiction over the Company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except as would not reasonably be expected to result in a Material Adverse Effect; and no action, suit, or proceeding by or before any court or governmental agency, authority, or body or any arbitrator involving the Company or any of its Subsidiaries respecting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59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Off-Balance Sheet Arrangements</w:t>
      </w:r>
      <w:r>
        <w:rPr>
          <w:rFonts w:ascii="Times New Roman" w:cs="Times New Roman" w:eastAsia="Times New Roman" w:hAnsi="Times New Roman"/>
          <w:sz w:val="18"/>
          <w:szCs w:val="18"/>
          <w:color w:val="auto"/>
        </w:rPr>
        <w:t xml:space="preserve">. There are no transactions, arrangements, and other relationships between and/or among the Company, and/or, to the knowledge of the Company, any of its affiliates and any unconsolidated entity, including any structural finance, special purpose, or limited purpose entity (each, an </w:t>
      </w:r>
      <w:r>
        <w:rPr>
          <w:rFonts w:ascii="Times New Roman" w:cs="Times New Roman" w:eastAsia="Times New Roman" w:hAnsi="Times New Roman"/>
          <w:sz w:val="18"/>
          <w:szCs w:val="18"/>
          <w:b w:val="1"/>
          <w:bCs w:val="1"/>
          <w:i w:val="1"/>
          <w:iCs w:val="1"/>
          <w:color w:val="auto"/>
        </w:rPr>
        <w:t>“Off Balance Sheet Transaction”</w:t>
      </w:r>
      <w:r>
        <w:rPr>
          <w:rFonts w:ascii="Times New Roman" w:cs="Times New Roman" w:eastAsia="Times New Roman" w:hAnsi="Times New Roman"/>
          <w:sz w:val="18"/>
          <w:szCs w:val="18"/>
          <w:color w:val="auto"/>
        </w:rPr>
        <w:t>) that could reasonably be expected to affect materially the Company’s liquidity or the availability of or requirements for its capital resources, including those Off Balance Sheet Transactions described in the SEC’s Statement about Management’s Discussion and Analysis of Financial Conditions and Results of Operations (Release Nos. 33-8056; 34-45321; FR-61), required to be described in the Prospectus that have not been described as required.</w:t>
      </w:r>
    </w:p>
    <w:p>
      <w:pPr>
        <w:spacing w:after="0" w:line="187" w:lineRule="exact"/>
        <w:rPr>
          <w:rFonts w:ascii="Times New Roman" w:cs="Times New Roman" w:eastAsia="Times New Roman" w:hAnsi="Times New Roman"/>
          <w:sz w:val="18"/>
          <w:szCs w:val="18"/>
          <w:color w:val="auto"/>
        </w:rPr>
      </w:pPr>
    </w:p>
    <w:p>
      <w:pPr>
        <w:ind w:left="-8" w:firstLine="1304"/>
        <w:spacing w:after="0" w:line="282" w:lineRule="auto"/>
        <w:tabs>
          <w:tab w:leader="none" w:pos="155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 Agreements</w:t>
      </w:r>
      <w:r>
        <w:rPr>
          <w:rFonts w:ascii="Times New Roman" w:cs="Times New Roman" w:eastAsia="Times New Roman" w:hAnsi="Times New Roman"/>
          <w:sz w:val="18"/>
          <w:szCs w:val="18"/>
          <w:color w:val="auto"/>
        </w:rPr>
        <w:t>. The Company is not a party to any agreement with an agent or underwriter for any other “at-the-market” or continuous equity transaction.</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16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To the knowledge of the Company: (i) each material employee benefit plan, within the meaning of Section 3(3) of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xml:space="preserve">), that is maintained, administered, or contributed to by the Company or any of its Subsidiaries (other than a Multiemployer Plan, within the meaning of Section 3(37) of ERISA) for employees or former employees of the Company and any of its Subsidiaries has been maintained in material compliance with its terms and the requirements of any applicable statutes, orders, rules, and regulations, including ERISA and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(ii) no prohibited transaction, within the meaning of</w:t>
      </w:r>
    </w:p>
    <w:p>
      <w:pPr>
        <w:sectPr>
          <w:pgSz w:w="11900" w:h="16878" w:orient="portrait"/>
          <w:cols w:equalWidth="0" w:num="1">
            <w:col w:w="11232"/>
          </w:cols>
          <w:pgMar w:left="328" w:top="661" w:right="339" w:bottom="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Section 406 of ERISA or Section 4975 of the Code, has occurred respecting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reasonably be expected to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left="-8" w:firstLine="1304"/>
        <w:spacing w:after="0" w:line="266" w:lineRule="auto"/>
        <w:tabs>
          <w:tab w:leader="none" w:pos="156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173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carry, or are covered by, insurance in such amounts and covering such risks as the Company and each of its Subsidiaries reasonably believe are adequate for the conduct of their properties and as is customary for companies of similar size engaged in similar businesses in similar industries.</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2" w:lineRule="auto"/>
        <w:tabs>
          <w:tab w:leader="none" w:pos="1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Improper Practices</w:t>
      </w:r>
      <w:r>
        <w:rPr>
          <w:rFonts w:ascii="Times New Roman" w:cs="Times New Roman" w:eastAsia="Times New Roman" w:hAnsi="Times New Roman"/>
          <w:sz w:val="18"/>
          <w:szCs w:val="18"/>
          <w:color w:val="auto"/>
        </w:rPr>
        <w:t>. (i) Neither the Company nor, to the Company’s knowledge, the Subsidiaries or any of their respective executive officers or directors has, in the past five (5)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Subsidiary or any affiliate of any of them, on the one hand, and the directors, officers and stockholders of the Company or, to the Company’s knowledge,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or stockholders of the Company or, to the Company’s knowledge, any Subsidiary, on the other hand, that is required by the rules of FINRA to be described in the Registration Statement and the Prospectus that is not so described; (iv) except as described in the Prospectus, there are no material outstanding loans or advances or material guarantees of indebtedness by the Company or, to the Company’s knowledge, any Subsidiary to or for the benefit of any of their respective officers or directors or any of the members of the families of any of them; and (v) the Company has not offered, or caused any placement agent to offer, Common Stock to any Person with the intent to influence unlawfully: (1) a customer or supplier of the Company or any Subsidiary to alter the customer’s or supplier’s level or type of business with the Company or any Subsidiary; or (2) a trade journalist or publication to write or publish favorable information about the Company or any Subsidiary or any of their respective products or services; and (vi) neither the Company nor any Subsidiary nor, to the Company’s knowledge, any officer, director, employee or agent of the Company or any Subsidiary has made any payment of funds of the Company or any Subsidiary or received or retained any funds in violation of any law, rule, or regulation (including the Foreign Corrupt Practices Act of 1977), which payment, receipt, or retention of funds is of a character required to be disclosed in the Registration Statement or the Prospectus.</w:t>
      </w:r>
    </w:p>
    <w:p>
      <w:pPr>
        <w:spacing w:after="0" w:line="191" w:lineRule="exact"/>
        <w:rPr>
          <w:rFonts w:ascii="Times New Roman" w:cs="Times New Roman" w:eastAsia="Times New Roman" w:hAnsi="Times New Roman"/>
          <w:sz w:val="18"/>
          <w:szCs w:val="18"/>
          <w:color w:val="auto"/>
        </w:rPr>
      </w:pPr>
    </w:p>
    <w:p>
      <w:pPr>
        <w:ind w:left="-8" w:firstLine="1304"/>
        <w:spacing w:after="0" w:line="282" w:lineRule="auto"/>
        <w:tabs>
          <w:tab w:leader="none" w:pos="163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63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 in an Issuer Free Writing Prospectus</w:t>
      </w:r>
      <w:r>
        <w:rPr>
          <w:rFonts w:ascii="Times New Roman" w:cs="Times New Roman" w:eastAsia="Times New Roman" w:hAnsi="Times New Roman"/>
          <w:sz w:val="18"/>
          <w:szCs w:val="18"/>
          <w:color w:val="auto"/>
        </w:rPr>
        <w:t>. Each Issuer Free Writing Prospectus, as of its issue date and as of each Applicable Time (as defined in Section 25 below), did not, does not and will not, through the completion of the Placement for which such Issuer Free Writing Prospectus is used or deemed use,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made in reliance upon, and in conformity with written information furnished to the Company by Aegis specifically for use in the preparation thereof.</w:t>
      </w:r>
    </w:p>
    <w:p>
      <w:pPr>
        <w:spacing w:after="0" w:line="187"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163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None of the execution of this Agreement; the issuance, offering, or sale of the Placement Shares; the consummation of any of the transactions contemplated herein; or the compliance by the Company with the terms and provisions hereof will conflict with or result in a breach of any of the terms and provisions of; constitute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w:t>
      </w:r>
    </w:p>
    <w:p>
      <w:pPr>
        <w:spacing w:after="0" w:line="3"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conflicts, breaches, and defaults that would not reasonably be expected to have a Material Adverse Effect; nor will such action result in any violation of the provisions of the organizational or governing documents of the Company or 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1572" w:hanging="276"/>
        <w:spacing w:after="0"/>
        <w:tabs>
          <w:tab w:leader="none" w:pos="15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1292" w:firstLine="652"/>
        <w:spacing w:after="0" w:line="268" w:lineRule="auto"/>
        <w:tabs>
          <w:tab w:leader="none" w:pos="216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(each, an </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nor any director, officer, employee, nor to the Entity’s knowledge, any agent, affiliate, or representative of the Entity, is a government, individual, or entity that is owned or controlled by any director, officer, employee, agent, affiliate, or representative of the Entity that is:</w:t>
      </w:r>
    </w:p>
    <w:p>
      <w:pPr>
        <w:spacing w:after="0" w:line="174" w:lineRule="exact"/>
        <w:rPr>
          <w:rFonts w:ascii="Times New Roman" w:cs="Times New Roman" w:eastAsia="Times New Roman" w:hAnsi="Times New Roman"/>
          <w:sz w:val="18"/>
          <w:szCs w:val="18"/>
          <w:color w:val="auto"/>
        </w:rPr>
      </w:pPr>
    </w:p>
    <w:p>
      <w:pPr>
        <w:jc w:val="both"/>
        <w:ind w:left="1952" w:firstLine="640"/>
        <w:spacing w:after="0" w:line="266" w:lineRule="auto"/>
        <w:tabs>
          <w:tab w:leader="none" w:pos="2884"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subject of any sanctions administered or enforced by the U.S. Department of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1952" w:firstLine="640"/>
        <w:spacing w:after="0" w:line="282" w:lineRule="auto"/>
        <w:tabs>
          <w:tab w:leader="none" w:pos="2875"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as of the date hereof, Burma/Myanmar, Cuba, Iran, North Korea, Sudan, Syria, and the Crimea, Donetsk, and Luhansk regions of Ukraine).</w:t>
      </w:r>
    </w:p>
    <w:p>
      <w:pPr>
        <w:spacing w:after="0" w:line="161" w:lineRule="exact"/>
        <w:rPr>
          <w:rFonts w:ascii="Times New Roman" w:cs="Times New Roman" w:eastAsia="Times New Roman" w:hAnsi="Times New Roman"/>
          <w:sz w:val="18"/>
          <w:szCs w:val="18"/>
          <w:color w:val="auto"/>
        </w:rPr>
      </w:pPr>
    </w:p>
    <w:p>
      <w:pPr>
        <w:jc w:val="both"/>
        <w:ind w:left="1292" w:firstLine="652"/>
        <w:spacing w:after="0" w:line="266" w:lineRule="auto"/>
        <w:tabs>
          <w:tab w:leader="none" w:pos="220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each Entity, represents and covenants that it will not, directly or indirectly, use, lend, contribute, or otherwise make available the proceeds of the offering governed by this Agreement to any subsidiary, joint venture partner, or other director, officer, employee, agent, affiliate, or representative of the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4" w:name="page15"/>
    <w:bookmarkEnd w:id="14"/>
    <w:p>
      <w:pPr>
        <w:spacing w:after="0" w:line="40" w:lineRule="exact"/>
        <w:rPr>
          <w:sz w:val="20"/>
          <w:szCs w:val="20"/>
          <w:color w:val="auto"/>
        </w:rPr>
      </w:pPr>
    </w:p>
    <w:p>
      <w:pPr>
        <w:ind w:left="1960" w:firstLine="640"/>
        <w:spacing w:after="0" w:line="282" w:lineRule="auto"/>
        <w:tabs>
          <w:tab w:leader="none" w:pos="286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161" w:lineRule="exact"/>
        <w:rPr>
          <w:rFonts w:ascii="Times New Roman" w:cs="Times New Roman" w:eastAsia="Times New Roman" w:hAnsi="Times New Roman"/>
          <w:sz w:val="18"/>
          <w:szCs w:val="18"/>
          <w:color w:val="auto"/>
        </w:rPr>
      </w:pPr>
    </w:p>
    <w:p>
      <w:pPr>
        <w:ind w:left="1960" w:firstLine="640"/>
        <w:spacing w:after="0" w:line="282" w:lineRule="auto"/>
        <w:tabs>
          <w:tab w:leader="none" w:pos="286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detailed in the Prospectus, for the past five years, the Entity has not knowingly engaged in, is not now knowingly engaged in, and will not engage in, any dealings or transactions with any Person, or in any country or territory, that at the time of the dealing or transaction is or was the subject of Sanctions.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Transfer Taxes</w:t>
      </w:r>
      <w:r>
        <w:rPr>
          <w:rFonts w:ascii="Times New Roman" w:cs="Times New Roman" w:eastAsia="Times New Roman" w:hAnsi="Times New Roman"/>
          <w:sz w:val="18"/>
          <w:szCs w:val="18"/>
          <w:color w:val="auto"/>
        </w:rPr>
        <w:t>. On each Settlement Date, all stock transfer or other taxes (other than income taxes) that are required to be paid in connection with the sale and transfer of the Placement Shares to be sold hereunder will be, or will have been, fully paid or provided for by the Company and all laws imposing such taxes will be or will have been fully complied with in all material respects.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Aegis or to counsel for Aegis pursuant to or in connection with this Agreement will be deemed to be a representation and warranty by the Company, as applicable, to Aegis as to the matters set forth therein. The Company acknowledges that Aegis and, for purposes of the opinions to be delivered pursuant to Section 7 hereof, counsel to the Company and counsel to Aegis, will rely upon the accuracy and truthfulness of the foregoing representations and hereby consents to such reliance.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Aegis that:</w:t>
      </w:r>
    </w:p>
    <w:p>
      <w:pPr>
        <w:spacing w:after="0" w:line="229" w:lineRule="exact"/>
        <w:rPr>
          <w:sz w:val="20"/>
          <w:szCs w:val="20"/>
          <w:color w:val="auto"/>
        </w:rPr>
      </w:pPr>
    </w:p>
    <w:p>
      <w:pPr>
        <w:jc w:val="both"/>
        <w:ind w:firstLine="1304"/>
        <w:spacing w:after="0" w:line="252" w:lineRule="auto"/>
        <w:tabs>
          <w:tab w:leader="none" w:pos="15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Aegis under the Securities Act (including in circumstances when such requirement may be satisfied pursuant to Rule 172 under the Securities Act): (i) the Company will notify Aegis promptly of the time when any subsequent amendment to the Registration Statement, other than documents incorporated by reference, has been filed with the SEC and/or has become effective or any subsequent supplement to the Prospectus has been filed and of any request by the SEC for any amendment or supplement to the Registration Statement or Prospectus or for additional information; (ii) the Company will prepare and file with the SEC, promptly upon Aegis’s reasonable request, any amendments or supplements to the Registration Statement or Prospectus that, in Aegis’s reasonable opinion, may be necessary or advisable in connection with the distribution of the Placement Shares by Aegis (provided, however, that (A) the failure of Aegis to make such request will not relieve the Company of any obligation or liability hereunder, or affect Aegis’s right to rely on the representations and warranties made by the Company in this Agreement and (B) that the only remedy Aegis will have respecting the failure to make such filing will be to cease making sales under this Agreement until such amendment or supplement is filed); (iii) the Company will not file any amendment or supplement to the Registration Statement or Prospectus relating to the Placement Shares unless a copy thereof has been submitted to Aegis within a reasonable period of time before the filing and Aegis has not reasonably objected thereto within two (2) Business Days (provided, however, that the failure of Aegis to make such objection will not relieve the Company of any obligation or liability hereunder, or affect Aegis’s right to rely on the representations and warranties made by the Company in this Agreement and provided, further, that the only remedy Aegis will have respecting the failure by the Company to provide Aegis with such copy will be to cease making sales under this Agreement) and the Company will furnish to Aegis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SEC as required pursuant to the applicable paragraph of Rule 424(b) of the Securities Act or, in the case of any document to be incorporated therein by reference, to be filed with the SEC as required pursuant to the Exchange Act, within the period prescribed (the determination to file or not file any amendment or supplement with the SEC under this Section 7(a), based on the Company’s reasonable opinion or reasonable objections, will be made exclusively by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SEC Stop Orders</w:t>
      </w:r>
      <w:r>
        <w:rPr>
          <w:rFonts w:ascii="Times New Roman" w:cs="Times New Roman" w:eastAsia="Times New Roman" w:hAnsi="Times New Roman"/>
          <w:sz w:val="18"/>
          <w:szCs w:val="18"/>
          <w:color w:val="auto"/>
        </w:rPr>
        <w:t>. The Company will advise Aegis, promptly after it receives notice or obtains knowledge thereof, of the issuance or threatened issuance by the SEC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Aegis promptly after it receives any request by the SEC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xml:space="preserve">. During any period in which a Prospectus relating to the Placement Shares is required to be delivered by Aegis under the Securities Act respecting the offer and sale of the Placement Shares (including in circumstances where such requirement may be satisfied pursuant to Rule 172 under the Securities Act) (the </w:t>
      </w:r>
      <w:r>
        <w:rPr>
          <w:rFonts w:ascii="Times New Roman" w:cs="Times New Roman" w:eastAsia="Times New Roman" w:hAnsi="Times New Roman"/>
          <w:sz w:val="18"/>
          <w:szCs w:val="18"/>
          <w:b w:val="1"/>
          <w:bCs w:val="1"/>
          <w:i w:val="1"/>
          <w:iCs w:val="1"/>
          <w:color w:val="auto"/>
        </w:rPr>
        <w:t>“Prospectus Delivery Period”</w:t>
      </w:r>
      <w:r>
        <w:rPr>
          <w:rFonts w:ascii="Times New Roman" w:cs="Times New Roman" w:eastAsia="Times New Roman" w:hAnsi="Times New Roman"/>
          <w:sz w:val="18"/>
          <w:szCs w:val="18"/>
          <w:color w:val="auto"/>
        </w:rPr>
        <w:t>), the Company will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SEC pursuant to Sections 13(a), 13(c), 14, 15(d), or any other provision of or under the Exchange Act. If the Company has omitted any information from the Registration Statement pursuant to Rule 430B under the Securities Act, it will use its commercially reasonable efforts to comply with the provisions of and make all requisite filings with the SEC pursuant to said Rule 430B and to notify Aegis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the Prospectus Delivery Period it is necessary to amend or supplement the Registration Statement or Prospectus to comply with the Securities Act, the Company will promptly notify Aegis to suspend the offering of Placement Shares during such period and the Company will promptly amend or supplement the Registration Statement or Prospectus (at the reasonable expense of the Company) so as to correct such statement or omission or effect such compliance; provided, however, that the Company may delay any amendment or supplement, if in the sole discretion of the Company, it is in the Company’s best interest to do so.</w:t>
      </w:r>
    </w:p>
    <w:p>
      <w:pPr>
        <w:spacing w:after="0" w:line="197"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During the Prospectus Delivery Period, the Company will use its commercially reasonable efforts to cause the Placement Shares to be listed on the Exchange.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The Company will furnish to Aegis and its counsel (at the reasonable expense of the Company) copies of the Registration Statement, the Prospectus (including all documents incorporated by reference therein) and all amendments and supplements to the Registration Statement or Prospectus that are filed with the SEC during the Prospectus Delivery Period (including all documents filed with the SEC during such period that are deemed to be incorporated by reference therein), in each case as soon as reasonably practicable and in such quantities as Aegis may from time to time reasonably request and, at Aegis’s request, will also furnish copies of the Prospectus to each exchange or market</w:t>
      </w:r>
    </w:p>
    <w:p>
      <w:pPr>
        <w:sectPr>
          <w:pgSz w:w="11900" w:h="16878" w:orient="portrait"/>
          <w:cols w:equalWidth="0" w:num="1">
            <w:col w:w="11240"/>
          </w:cols>
          <w:pgMar w:left="320" w:top="661" w:right="339" w:bottom="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on which sales of the Placement Shares may be made; provided, however, that the Company will not be required to furnish any document (other than the Prospectus) to Aegis to the extent such document is available on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1304"/>
        <w:spacing w:after="0" w:line="261" w:lineRule="auto"/>
        <w:tabs>
          <w:tab w:leader="none" w:pos="15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The Company’s compliance with the reporting requirements of the Exchange Act shall be deemed to satisfy this Section 7(f).</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substantially as described in the Prospectus in the section entitled “Use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w:t>
      </w:r>
    </w:p>
    <w:p>
      <w:pPr>
        <w:spacing w:after="0" w:line="206"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in any public or private equity offerings (“</w:t>
      </w:r>
      <w:r>
        <w:rPr>
          <w:rFonts w:ascii="Times New Roman" w:cs="Times New Roman" w:eastAsia="Times New Roman" w:hAnsi="Times New Roman"/>
          <w:sz w:val="18"/>
          <w:szCs w:val="18"/>
          <w:b w:val="1"/>
          <w:bCs w:val="1"/>
          <w:i w:val="1"/>
          <w:iCs w:val="1"/>
          <w:color w:val="auto"/>
        </w:rPr>
        <w:t>Other Sales</w:t>
      </w:r>
      <w:r>
        <w:rPr>
          <w:rFonts w:ascii="Times New Roman" w:cs="Times New Roman" w:eastAsia="Times New Roman" w:hAnsi="Times New Roman"/>
          <w:sz w:val="18"/>
          <w:szCs w:val="18"/>
          <w:color w:val="auto"/>
        </w:rPr>
        <w:t>”) without providing prior written notice delivered to Aegis at least two (2) Business Days prior to the pricing of such Other Sale; provided, however, that such notice will not be required in connection with the Company’s issuance, grant, or sale of: (1) Common Stock, options to purchase Common Stock, restricted shares of Common Stock, restricted stock units or other equity awards, or Common Stock issuable upon the exercise of options or other equity awards, pursuant to any employee or director stock option or benefits plan, stock ownership plan or dividend reinvestment plan (but not Common Stock subject to a waiver to exceed plan limits in its dividend reinvestment plan) of the Company whether now in effect or hereafter implemented; (2) Common Stock issuable upon the exchange, conversion or redemption of securities or the exercise of warrants, options or other rights in effect or outstanding, and disclosed in filings by the Company available on EDGAR or otherwise in writing to Aegis; and (3) Common Stock or securities convertible into or exercisable for Common Stock as consideration for mergers, acquisitions, other business combinations, licensing agreements or strategic alliances, or offered and sold in a privately negotiated transaction to licensors, vendors, customers, strategic partners or potential strategic partners who are qualified institutional buyers and not more than three Persons that are “accredited investors” within the meaning of such term under paragraph (a)(1), (a)(2), (a)(3), (a)(7), or (a)(8) of Rule 501 under the Securities Act and otherwise conducted in a manner so as not to be integrated with the offering of Placement Shares contemplated hereby.</w:t>
      </w:r>
    </w:p>
    <w:p>
      <w:pPr>
        <w:spacing w:after="0" w:line="19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Aegis promptly after it will have received notice or obtained knowledge thereof, of any information or fact that would alter or affect in any material respect any opinion, certificate, letter or other document required to be provided to Aegis pursuant to this Agreement.</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5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Aegis or its representatives in connection with the transactions contemplated hereby, including providing information and making available documents and senior corporate officers, during regular business hours and at the Company’s principal offices or such other location mutually agreed to by the parties, as Aegis may reasonably request.</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agrees that on such dates as the Securities Act requires,</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(i) file a prospectus supplement with the SEC under the applicable paragraph of Rule 424(b) under the Securities Act (each and every filing under Rule 424(b), a </w:t>
      </w:r>
      <w:r>
        <w:rPr>
          <w:rFonts w:ascii="Times New Roman" w:cs="Times New Roman" w:eastAsia="Times New Roman" w:hAnsi="Times New Roman"/>
          <w:sz w:val="18"/>
          <w:szCs w:val="18"/>
          <w:b w:val="1"/>
          <w:bCs w:val="1"/>
          <w:i w:val="1"/>
          <w:iCs w:val="1"/>
          <w:color w:val="auto"/>
        </w:rPr>
        <w:t>“Filing Date”</w:t>
      </w:r>
      <w:r>
        <w:rPr>
          <w:rFonts w:ascii="Times New Roman" w:cs="Times New Roman" w:eastAsia="Times New Roman" w:hAnsi="Times New Roman"/>
          <w:sz w:val="18"/>
          <w:szCs w:val="18"/>
          <w:color w:val="auto"/>
        </w:rPr>
        <w:t>), which prospectus supplement will set forth, within the relevant period, the amount of Placement Shares sold through Aegis, the Net Proceeds to the Company and the compensation payable by the Company to Aegis respecting such Placement Shares; and (ii) deliver such number of copies of each such prospectus supplement to each exchange or market on which such sales were effected as may be required by the rules or regulations of such exchange or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ind w:left="1520" w:hanging="216"/>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On the date of this Agreement and each time the Company:</w:t>
      </w:r>
    </w:p>
    <w:p>
      <w:pPr>
        <w:spacing w:after="0" w:line="27"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1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88"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that contains restated financial</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w:t>
      </w:r>
    </w:p>
    <w:p>
      <w:pPr>
        <w:spacing w:after="0" w:line="206"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files a current report on Form 8-K containing amended audited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will be a </w:t>
      </w:r>
      <w:r>
        <w:rPr>
          <w:rFonts w:ascii="Times New Roman" w:cs="Times New Roman" w:eastAsia="Times New Roman" w:hAnsi="Times New Roman"/>
          <w:sz w:val="18"/>
          <w:szCs w:val="18"/>
          <w:b w:val="1"/>
          <w:bCs w:val="1"/>
          <w:i w:val="1"/>
          <w:iCs w:val="1"/>
          <w:color w:val="auto"/>
        </w:rPr>
        <w:t>“Representation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furnish Aegis (but in the case of clause (iv) above only if Aegis reasonably determines that the information contained in such Form 8-K is material) with a certificate, in the form attached hereto as Exhibit A. The requirement to provide a certificate under this Section 7(l) will be waived for any Representation Date occurring at a time at which no Placement Notice is pending, which waiver will continue until the earlier to occur of the date the Company delivers a Placement Notice hereunder (which for such calendar quarter will be considered a Representation Date) and the next occurring Representation Date; provided, however, that such waiver will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Aegis with a certificate under this Section 7(l), then before the Company delivers the Placement Notice or Aegis sells any Placement Shares, the Company will provide Aegis with a certificate, in the form attached hereto as Exhibit A, dated the date of the Placement Notice.</w:t>
      </w:r>
    </w:p>
    <w:p>
      <w:pPr>
        <w:spacing w:after="0" w:line="188" w:lineRule="exact"/>
        <w:rPr>
          <w:sz w:val="20"/>
          <w:szCs w:val="20"/>
          <w:color w:val="auto"/>
        </w:rPr>
      </w:pPr>
    </w:p>
    <w:p>
      <w:pPr>
        <w:jc w:val="both"/>
        <w:ind w:firstLine="1304"/>
        <w:spacing w:after="0" w:line="255" w:lineRule="auto"/>
        <w:tabs>
          <w:tab w:leader="none" w:pos="162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On the date of this Agreement and within five (5) Trading Days after each Representation Date for which the Company is obligated to deliver a certificate in the form attached hereto as Exhibit A for which no waiver is applicable, the Company will cause to be furnished to Aegis written opinions of Stradling Yocca Carlson &amp; Rauth LLP (</w:t>
      </w:r>
      <w:r>
        <w:rPr>
          <w:rFonts w:ascii="Times New Roman" w:cs="Times New Roman" w:eastAsia="Times New Roman" w:hAnsi="Times New Roman"/>
          <w:sz w:val="18"/>
          <w:szCs w:val="18"/>
          <w:b w:val="1"/>
          <w:bCs w:val="1"/>
          <w:i w:val="1"/>
          <w:iCs w:val="1"/>
          <w:color w:val="auto"/>
        </w:rPr>
        <w:t>“Company Counsel”</w:t>
      </w:r>
      <w:r>
        <w:rPr>
          <w:rFonts w:ascii="Times New Roman" w:cs="Times New Roman" w:eastAsia="Times New Roman" w:hAnsi="Times New Roman"/>
          <w:sz w:val="18"/>
          <w:szCs w:val="18"/>
          <w:color w:val="auto"/>
        </w:rPr>
        <w:t>), or other counsel reasonably satisfactory to Aegis, in form and substance reasonably satisfactory to Aegis and its counsel; provided, however, the Company will be required to furnish to Aegis no more than one</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opinion hereunder per calendar quarter, except that the Company shall furnish an opinion in connection with any Representation Date that involves a material amendment to the Registration Statement; provided, further, that in lieu of such opinions for subsequent periodic filings under the Exchange Act, Company Counsel may furnish Aegis with a letter (a </w:t>
      </w:r>
      <w:r>
        <w:rPr>
          <w:rFonts w:ascii="Times New Roman" w:cs="Times New Roman" w:eastAsia="Times New Roman" w:hAnsi="Times New Roman"/>
          <w:sz w:val="18"/>
          <w:szCs w:val="18"/>
          <w:b w:val="1"/>
          <w:bCs w:val="1"/>
          <w:i w:val="1"/>
          <w:iCs w:val="1"/>
          <w:color w:val="auto"/>
        </w:rPr>
        <w:t>“Reliance Letter”</w:t>
      </w:r>
      <w:r>
        <w:rPr>
          <w:rFonts w:ascii="Times New Roman" w:cs="Times New Roman" w:eastAsia="Times New Roman" w:hAnsi="Times New Roman"/>
          <w:sz w:val="18"/>
          <w:szCs w:val="18"/>
          <w:color w:val="auto"/>
        </w:rPr>
        <w:t>) to the effect that Aegis may rely on a prior opinion delivered under this Section 7(m) to the same extent as if it were dated the date of such letter (except that statements in such prior opinion will be deemed to relate to the Registration Statement and the Prospectus as amended or supplemented as of the date of the Reliance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ind w:left="-1120" w:firstLine="1304"/>
        <w:spacing w:after="0" w:line="254" w:lineRule="auto"/>
        <w:tabs>
          <w:tab w:leader="none" w:pos="4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xml:space="preserve">. On the date of this Agreement and within five (5) Trading Days after each Representation Date (other than pursuant to Section 7(l)(iii), for which the Company is obligated to deliver a certificate in the form attached hereto as Exhibit A for which no waiver is applicable, the Company will cause its Accountants to furnish Aegis letters (the </w:t>
      </w:r>
      <w:r>
        <w:rPr>
          <w:rFonts w:ascii="Times New Roman" w:cs="Times New Roman" w:eastAsia="Times New Roman" w:hAnsi="Times New Roman"/>
          <w:sz w:val="18"/>
          <w:szCs w:val="18"/>
          <w:b w:val="1"/>
          <w:bCs w:val="1"/>
          <w:i w:val="1"/>
          <w:iCs w:val="1"/>
          <w:color w:val="auto"/>
        </w:rPr>
        <w:t>“Comfort Letters”</w:t>
      </w:r>
      <w:r>
        <w:rPr>
          <w:rFonts w:ascii="Times New Roman" w:cs="Times New Roman" w:eastAsia="Times New Roman" w:hAnsi="Times New Roman"/>
          <w:sz w:val="18"/>
          <w:szCs w:val="18"/>
          <w:color w:val="auto"/>
        </w:rPr>
        <w:t xml:space="preserve">), dated the date the Comfort Letters are delivered, which will meet the requirements set forth in this Section 7(n). The Comfort Letter from each of the Accountants will be in a form and substance reasonably satisfactory to Aegis: (i) confirming that they are an independent public accounting firm within the meaning of the Securities Act and the PCAOB; (ii) stating, as of such date, the conclusions and findings of such firm respecting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i w:val="1"/>
          <w:iCs w:val="1"/>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the date of this Agreement, Aegis shall have received a certificate, signed on behalf of the Company by its corporate Secretary, certifying as to (i) the Certificate of Incorporation of the Company, (ii) the Bylaws of the Company, (iii) the resolutions of the Board of Directors of the Company (or a committee thereof) authorizing the execution, delivery and performance of this Agreement and the issuance of the Placement Shares and (iv) the incumbency of the officers duly authorized to execute this Agreement and the other documents contemplated by this Agreement.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On the date of this Agreement and each Representation Date pursuant to Section 7(l)(iii), for which the Company is obligated to deliver a certificate in the form attached hereto as Exhibit A for which no waiver is applicable, the Company will cause its Chief Financial Officer to furnish Aegis a certificate, signed on behalf of the Company by its Chief Financial Officer in the form attached hereto as Exhibit B.</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Aegis; provided, however, that the Company may bid for and purchase shares of its Common Stock in accordance with Rule 10b-18 under the Exchange Act.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required to be registered as an “investment company,” as such term is defined in the Investment Company Act, assuming no material change in the SEC’s current interpretation as to entities that are not considered an investment company.</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the Prospectus and an Issuer Free Writing Prospectus approved in advance by the Company and Aegis in its capacity as agent hereunder, neither Aegis nor the Company (including its agents and representatives, other than Aegis in its capacity as such) will make, use, prepare, authorize, approve, or refer to any written communication (as defined in Rule 405 under the Securities Act), required to be filed with the SEC, that constitutes an offer to sell or solicitation of an offer to buy Placement Shares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9" w:name="page20"/>
    <w:bookmarkEnd w:id="19"/>
    <w:p>
      <w:pPr>
        <w:jc w:val="both"/>
        <w:ind w:firstLine="1304"/>
        <w:spacing w:after="0" w:line="252" w:lineRule="auto"/>
        <w:tabs>
          <w:tab w:leader="none" w:pos="15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the Subsidiaries will use commercially reasonable efforts to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provide reasonable assurance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use commercially reasonable efforts to maintain such controls and other procedures, including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periods specified in the SEC’s rules and forms, including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individuals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u w:val="single" w:color="auto"/>
          <w:color w:val="auto"/>
        </w:rPr>
        <w:t>Representations and Covenants of Aegis</w:t>
      </w:r>
      <w:r>
        <w:rPr>
          <w:rFonts w:ascii="Times New Roman" w:cs="Times New Roman" w:eastAsia="Times New Roman" w:hAnsi="Times New Roman"/>
          <w:sz w:val="18"/>
          <w:szCs w:val="18"/>
          <w:color w:val="auto"/>
        </w:rPr>
        <w:t>. Aegis represents and warrants that it is duly registered as a broker-dealer under FINRA,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the applicable statutes and regulations of each state in which the Placement Shares will be offered and sold, except such states in which Aegis is exempt from registration or such registration is not otherwise required. Aegis will continue, for the term of this Agreement, to be duly registered as a broker-dealer under FINRA, the Exchange Act, and the applicable statutes and regulations of each state in which the Placement Shares will be offered and sold, except such states in which Aegis is exempt from registration or such registration is not otherwise required, during the term of this Agreement. Aegis will comply with all applicable law and regulations in connection with the Placement Shares, including Regulation M and other anti-manipulation rules under the Exchange Act.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to reimburse Aegis upon request for its reasonable costs and out-of-pocket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incurred in connection with providing its services under this Agreement, including the reasonable documented fees and out-of-pocket expenses of its legal counsel subject to the Fee Cap (defined below). The Company shall bear and be responsible for all expenses which are customarily borne by issuers for transactions of the type set forth herein. Legal fees and out-of-pocket expenses for the offering incurred by Aegis and paid by the Company shall not exceed (collectively, the </w:t>
      </w:r>
      <w:r>
        <w:rPr>
          <w:rFonts w:ascii="Times New Roman" w:cs="Times New Roman" w:eastAsia="Times New Roman" w:hAnsi="Times New Roman"/>
          <w:sz w:val="18"/>
          <w:szCs w:val="18"/>
          <w:b w:val="1"/>
          <w:bCs w:val="1"/>
          <w:i w:val="1"/>
          <w:iCs w:val="1"/>
          <w:color w:val="auto"/>
        </w:rPr>
        <w:t>“Fee Cap”</w:t>
      </w:r>
      <w:r>
        <w:rPr>
          <w:rFonts w:ascii="Times New Roman" w:cs="Times New Roman" w:eastAsia="Times New Roman" w:hAnsi="Times New Roman"/>
          <w:sz w:val="18"/>
          <w:szCs w:val="18"/>
          <w:color w:val="auto"/>
        </w:rPr>
        <w:t>): (a) up to $75,000 of the reasonable documented fees and out-of-pocket expenses of Aegis’ legal counsel, payable as follows: (i) $37,500 due and payable upon filing of the Prospectus with the Commission, and (ii) any remaining amounts due and payable within ten (10) Business Days of the Company’s receipt of an invoice from Aegis’ legal counsel; and (b) for so long as an offering is ongoing the Company will pay the reasonable documented legal fees incurred by Aegis in connection with updating due diligence in connection with the offering not to exceed (i) $2,500 following each filing of a Form 10-Q and (ii) $5,000 following each filing of an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Conditions to Aegis’s Obligations. The obligations of Aegis hereunder respecting a Placement will be subject to the continuing accuracy and completeness of the representations and warranties made by the Company herein (other than those representations and warranties made as of a specified date or time), to the due performance by the Company in all material respects of its obligations hereunder, to the completion by Aegis of a due diligence review satisfactory to it in its reasonable judgment, and to the continuing reasonable satisfaction (or waiver by Aegis in its sole discretion) of the following additional conditions:</w:t>
      </w:r>
    </w:p>
    <w:p>
      <w:pPr>
        <w:spacing w:after="0" w:line="183" w:lineRule="exact"/>
        <w:rPr>
          <w:sz w:val="20"/>
          <w:szCs w:val="20"/>
          <w:color w:val="auto"/>
        </w:rPr>
      </w:pPr>
    </w:p>
    <w:p>
      <w:pPr>
        <w:ind w:firstLine="1304"/>
        <w:spacing w:after="0" w:line="282" w:lineRule="auto"/>
        <w:tabs>
          <w:tab w:leader="none" w:pos="15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Company shall at all times maintain in effect the Registration Statement, which will be available for the sale of all Placement Shares contemplated to be issued by any Placement Notice.</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will have occurred and be continuing: (i) receipt by the Company of any request for additional information from the SEC or any other federal or state governmental authority during the period of effectiveness of the Registration Statement the response to which would require any post-effective amendments or supplements to the Registration Statement or the Prospectus; (ii) the issuance by the SEC or any other federal or state governmental authority of any stop order suspending the effectiveness of the Registration Statement or the initiation of any proceedings for that purpose; (iii) receipt by the Company of any notification respecting the suspension of the qualification or exemption from qualification of any of the Placement Shares for sale in any jurisdiction or the initiation or threatening of any proceeding for such purpose; or (iv) the occurrence of any event that requires the making of any changes in the Registration Statement, the Prospectus or related documents so that, in the case of the Registration Statement, it will not contain any materially untrue statement of a material fact or omit to state any material fact required to be stated therein or necessary to make the statements therein not misleading and,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Aegis will not have been advised by the Company that the Registration Statement or Prospectus, or any amendment or supplement thereto, contains an untrue statement of fact that in Aegis’s reasonable opinion, in consultation with counsel, is material, or omits to state a fact that in Aegis’s reasonable opinion is material and is required to be stated therein or is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SEC, there will not have been any material adverse change, on a consolidated basis, in the authorized capital stock of the Company or any Material Adverse Effect, or any development that would reasonably be expected to cause a Material Adverse Effect.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Aegis will have received the opinions of Company Counsel required to be delivered pursuant Section 7(m) on or before the date on which such delivery of such opinions is required pursuant to Section 7(m).</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Aegis will have received the Comfort Letters required to be delivered pursuant Section 7(n) on or before the date on which such delivery of such letter is required pursuant to Section 7(n).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Aegis will have received the certificate required to be delivered pursuant to Section 7(l) on or before the date on which delivery of such certificate is required pursuant to Section 7(l).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ind w:left="-660" w:firstLine="1304"/>
        <w:spacing w:after="0" w:line="282" w:lineRule="auto"/>
        <w:tabs>
          <w:tab w:leader="none" w:pos="9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Aegis will have received the Secretary’s certificate required to be delivered pursuant to Section 7(o) on or before the date on which delivery of such certificate is required pursuant to Section 7(o).</w:t>
      </w:r>
    </w:p>
    <w:p>
      <w:pPr>
        <w:spacing w:after="0" w:line="161" w:lineRule="exact"/>
        <w:rPr>
          <w:rFonts w:ascii="Times New Roman" w:cs="Times New Roman" w:eastAsia="Times New Roman" w:hAnsi="Times New Roman"/>
          <w:sz w:val="18"/>
          <w:szCs w:val="18"/>
          <w:color w:val="auto"/>
        </w:rPr>
      </w:pPr>
    </w:p>
    <w:p>
      <w:pPr>
        <w:ind w:left="-660" w:firstLine="1304"/>
        <w:spacing w:after="0" w:line="282" w:lineRule="auto"/>
        <w:tabs>
          <w:tab w:leader="none" w:pos="8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will not have been suspended on the Exchange and the Common Stock will not have been delisted from the Exchange.</w:t>
      </w:r>
    </w:p>
    <w:p>
      <w:pPr>
        <w:spacing w:after="0" w:line="161"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8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On each date on which the Company is required to deliver a certificate pursuant to Section 7(l), the Company will have furnished to Aegis such appropriate further information, certificates, and documents as Aegis may reasonably request and that are usually and customarily furnished by an issuer of securities in connection with a securities offering. All such opinions, certificates, letters, and other documents will be in compliance with the provisions hereof. The Company will furnish Aegis with such conformed copies of such opinions, certificates, letters, and other documents as Aegis will reasonably request.</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8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SEC required by Rule 424 with respect to the Placement Shares under the Securities Act to have been filed prior to the issuance of any Placement Notice hereunder will have been made within the applicable period prescribed for such filing by Rule 424.</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8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will either have been approved for listing on the Exchange, subject only to notice of issuance, or the Company will have filed an application for listing of the Placement Shares on the Exchange at, or prior to, the issuance of any Placement Notice.</w:t>
      </w:r>
    </w:p>
    <w:p>
      <w:pPr>
        <w:spacing w:after="0" w:line="175" w:lineRule="exact"/>
        <w:rPr>
          <w:rFonts w:ascii="Times New Roman" w:cs="Times New Roman" w:eastAsia="Times New Roman" w:hAnsi="Times New Roman"/>
          <w:sz w:val="18"/>
          <w:szCs w:val="18"/>
          <w:color w:val="auto"/>
        </w:rPr>
      </w:pPr>
    </w:p>
    <w:p>
      <w:pPr>
        <w:ind w:left="940" w:hanging="296"/>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No event will have occurred that would permit Aegis to terminate this Agreement pursuant to Section 13(a).</w:t>
      </w:r>
    </w:p>
    <w:p>
      <w:pPr>
        <w:spacing w:after="0" w:line="225" w:lineRule="exact"/>
        <w:rPr>
          <w:rFonts w:ascii="Times New Roman" w:cs="Times New Roman" w:eastAsia="Times New Roman" w:hAnsi="Times New Roman"/>
          <w:sz w:val="18"/>
          <w:szCs w:val="18"/>
          <w:color w:val="auto"/>
        </w:rPr>
      </w:pPr>
    </w:p>
    <w:p>
      <w:pPr>
        <w:ind w:left="-660" w:firstLine="1304"/>
        <w:spacing w:after="0" w:line="282" w:lineRule="auto"/>
        <w:tabs>
          <w:tab w:leader="none" w:pos="8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If applicable, FINRA shall have raised no objection to the terms of this offering and the amount of compensation allowable or payable to Aegis as described in the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1304"/>
        <w:spacing w:after="0" w:line="266"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Aegis, its partners, members, directors, officers, employees, and agents and each Person, if any, who controls Aegis within the meaning of Section 15 of the Securities Act or Section 20 of the Exchange Act as follows:</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150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15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any such settlement is effected with the written consent of the Company, which consent will not unreasonably be delayed or withheld;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273685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2" w:name="page23"/>
    <w:bookmarkEnd w:id="22"/>
    <w:p>
      <w:pPr>
        <w:jc w:val="both"/>
        <w:ind w:left="1300" w:firstLine="652"/>
        <w:spacing w:after="0" w:line="261" w:lineRule="auto"/>
        <w:tabs>
          <w:tab w:leader="none" w:pos="23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indemnity agreement will not apply to any loss, liability, claim, damage, or expense to the extent arising out of Aegis’s gross negligence or willful misconduct or any untrue statement or omission or alleged untrue statement or omission made solely in reliance upon and in conformity with written information furnished to the Company by Aegis expressly for use in the Registration Statement (or any amendment thereto), or in any related Issuer Free Writing Prospectus or the Prospectus (or any amendment or supplement thereto).</w:t>
      </w:r>
    </w:p>
    <w:p>
      <w:pPr>
        <w:spacing w:after="0" w:line="180" w:lineRule="exact"/>
        <w:rPr>
          <w:sz w:val="20"/>
          <w:szCs w:val="20"/>
          <w:color w:val="auto"/>
        </w:rPr>
      </w:pPr>
    </w:p>
    <w:p>
      <w:pPr>
        <w:jc w:val="both"/>
        <w:ind w:firstLine="1304"/>
        <w:spacing w:after="0" w:line="256"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Aegis Indemnification</w:t>
      </w:r>
      <w:r>
        <w:rPr>
          <w:rFonts w:ascii="Times New Roman" w:cs="Times New Roman" w:eastAsia="Times New Roman" w:hAnsi="Times New Roman"/>
          <w:sz w:val="18"/>
          <w:szCs w:val="18"/>
          <w:color w:val="auto"/>
        </w:rPr>
        <w:t>. Aegis agrees to indemnify and hold harmless the Company and its directors and each officer of the Company who signed the Registration Statement, and each Person, if any, that: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11(a), as incurred, but only respecting untrue statements or omissions, or alleged untrue statements or omissions, made in the Registration Statement (or any amendments thereto), the Prospectus (or any amendment or supplement thereto) or any Free Writing Prospectus in reliance upon and in conformity with information furnished to the Company in writing by Aegis expressly for use therein.</w:t>
      </w:r>
    </w:p>
    <w:p>
      <w:pPr>
        <w:spacing w:after="0" w:line="18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1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that proposes to assert the right to be indemnified under this Section 11 will, promptly after receipt of notice of commencement of any action against such party in respect of which a claim is to be made against an indemnifying party or parties under this Section 11, notify each such indemnifying party of the commencement of such action, enclosing a copy of all papers served, but the omission so to notify such indemnifying party will not relieve the indemnifying party from: (1) any liability that it might have to any indemnified party otherwise than under this Section 11; and (2) any liability that it may have to any indemnified party under the foregoing provision of this Section 11 unless, and only to the extent that, such omission results in the forfeiture or material impairment of substantive rights or defenses by the indemnifying party.</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line="31" w:lineRule="exact"/>
        <w:rPr>
          <w:sz w:val="20"/>
          <w:szCs w:val="20"/>
          <w:color w:val="auto"/>
        </w:rPr>
      </w:pPr>
    </w:p>
    <w:p>
      <w:pPr>
        <w:jc w:val="both"/>
        <w:ind w:left="1300" w:firstLine="652"/>
        <w:spacing w:after="0" w:line="254" w:lineRule="auto"/>
        <w:tabs>
          <w:tab w:leader="none" w:pos="227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5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indemnifying party or parties will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2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indemnifying party will not, in any event, be liable for any settlement of any action or claim effected without its written consent. No indemnifying party will, without the prior written consent of each indemnified party, settle or compromise or consent to the entry of any judgment in any pending or threatened claim, action, or proceeding relating to the matters contemplated by this Section 11 (whether or not any indemnified party is a party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Section 11 is applicable in accordance with its terms but for any reason is held to be unavailable from the Company or Aegis, the Company and Aegis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Aegis, such as Persons that control the Company within the meaning of the Securities Act, officers of the Company who signed the Registration Statement and directors of the Company, who also may be liable for contribution) to which the Company and Aegis may be subject in such proportion as is appropriate to reflect the relative benefits received by the Company, on the one hand, and Aegis, on the other hand. The relative benefits received by the Company, on the one hand, and Aegis, on the other hand, will be deemed to be in the same proportion as the total net proceeds from the sale of the Placement Shares (before deducting expenses) received by the Company bear to the total compensation received by Aegis (before deducting expenses) from the sale of Placement Shares on behalf of the Company. If, but only if, the allocation provided by the foregoing sentence is not permitted by applicable law, the allocation of contribution will be made in such proportion as is appropriate to reflect not only the relative benefits referred to in the foregoing sentence but also the relative fault of the Company, on the one hand, and Aegis, on the other hand, respecting the statements or omission that resulted in such loss, claim, liability, expense or damage, or action in respect thereof, as well as any other relevant equitable considerations respecting such offering. Such relative fault will be determined by reference to, among other things, whether the untrue or alleged untrue statement of a material fact or omission or alleged omission to state a material fact relates to information supplied by the Company or Aegis, the intent of the parties and their relative knowledge, access to information and opportunity to correct or prevent such statement or omission. The Company and Aegis agree that it would not be just and equitable if contributions pursuant to this Section 11(d)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11(d) will be deemed to include, for the purpose of this Section 11(d), any legal or other expenses reasonably incurred by such indemnified party in connection with investigating or defending any such action or claim to the extent consistent with Section 11(c) hereof. Notwithstanding the foregoing provisions of this Section 11(d), Aegis will not be required to contribute any amount in excess of the commissions received by it under this Agreement and no Person found guilty of fraudulent misrepresentation (within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will be entitled to contribution from any Person who was not guilty of such fraudulent misrepresentation. For purposes of this Section 11(d), any Person who controls a party to this Agreement within the meaning of the Securities Act, and any officers, directors, partners, employees or agents of Aegis,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11(d), will notify any such party or parties from whom contribution may be sought, but the omission to so notify will not relieve that party or parties from whom contribution may be sought from any other obligation it or they may have under this Section 11(d) except to the extent that the failure to so notify such other party materially prejudiced the substantive rights or defenses of the party from whom contribution is sought. Except for a settlement entered into pursuant to the last sentence of Section 11(c) hereof, no party will be liable for contribution respecting any action or claim settled without its written consent if such consent is required pursuant to Section 11(c) hereof.</w:t>
      </w:r>
    </w:p>
    <w:p>
      <w:pPr>
        <w:spacing w:after="0" w:line="19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The indemnity and contribution agreements contained in Section 11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all representations and warranties of the Company herein or in certificates delivered pursuant hereto will survive, as of their respective dates, regardless of: (a) any investigation made by or on behalf of Aegis, any controlling Persons, or the Company (or any of their respective officers, directors, or controlling Persons); (b) delivery and acceptance of the Placement Shares and payment therefor; or (c) any termination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3" w:lineRule="auto"/>
        <w:tabs>
          <w:tab w:leader="none" w:pos="15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Aegis may terminate this Agreement, by notice to the Company, as hereinafter specified at any time: (i) if there has been, since the time of execution of this Agreement or since the date as of which information is given in the Prospectus, any Material Adverse Effect, or any development has occurred that is reasonably likely to have a Material Adverse Effect or in the sole judgment of Aegis makes it impractical or inadvisable to market the Placement Shares or to enforce contracts for the sale of the Placement Shares;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Aegis, impracticable or inadvisable to market the Placement Shares or to enforce contracts for the sale of the Placement Shares; (iii) if trading in the Common Stock has been suspended or limited by the SEC or the Exchange, or if trading generally on the Exchange has been suspended or limited, or minimum prices for trading have been fixed on the Exchange; (iv) if any suspension of trading of any securities of the Company on any exchange or in the over-the-counter market will have occurred and be continuing; (v) if a major disruption of securities settlements or clearance services in the United States will have occurred and be continuing; or (vi) if a banking moratorium has been declared by either U.S. Federal or New York</w:t>
      </w:r>
    </w:p>
    <w:p>
      <w:pPr>
        <w:sectPr>
          <w:pgSz w:w="11900" w:h="16870" w:orient="portrait"/>
          <w:cols w:equalWidth="0" w:num="1">
            <w:col w:w="11240"/>
          </w:cols>
          <w:pgMar w:left="320" w:top="661" w:right="339" w:bottom="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authorities. Any such termination will be without liability of any party to any other party except that the provisions of Section 9 (Expenses), Section 11 (Indemnification), Section 12 (Survival of Representations), Section 18 (Applicable Law; Waiver of Jury Trial), and Section 19 (Consent to Jurisdiction) hereof will remain in full force and effect notwithstanding such termination. If Aegis elects to terminate this Agreement as provided in this Section 13(a), Aegis will provide the required notice as specified in Section 14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firstLine="1304"/>
        <w:spacing w:after="0" w:line="282" w:lineRule="auto"/>
        <w:tabs>
          <w:tab w:leader="none" w:pos="1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will have the right, by giving three (3) days’ notice as hereinafter specified to terminate this Agreement in its sole discretion at any time after the date of this Agreement.</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1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Aegis declines any commercially reasonable placement notice pursuant to Section 2 of this Agreement, then the Company will have the right to terminate this Agreement by giving written notice of termination to Aegis. Any such termination will be effective immediately upon a delivery of a termination notice by the Company to Aegis.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termination pursuant to Section 13(b) will be without liability of any party to any other party except that the provisions of Section 9, Section 11, Section 12, Section 18, and Section 19 hereof will remain in full force and effect notwithstanding such termination.</w:t>
      </w:r>
    </w:p>
    <w:p>
      <w:pPr>
        <w:spacing w:after="0" w:line="162" w:lineRule="exact"/>
        <w:rPr>
          <w:sz w:val="20"/>
          <w:szCs w:val="20"/>
          <w:color w:val="auto"/>
        </w:rPr>
      </w:pPr>
    </w:p>
    <w:p>
      <w:pPr>
        <w:jc w:val="both"/>
        <w:ind w:firstLine="1304"/>
        <w:spacing w:after="0" w:line="266" w:lineRule="auto"/>
        <w:tabs>
          <w:tab w:leader="none" w:pos="15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Aegis will have the right, by giving three (3) days’ notice as hereinafter specified to terminate this Agreement in its sole discretion at any time after the date of this Agreement. Any such termination will be without liability of any party to any other party except that the provisions of Section 9, Section 11, Section 12, Section 18, and Section 19 hereof will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pursuant to this Section 13, this Agreement will automatically terminate upon the earlier to occur of: (i) the eighteen-month anniversary of the date hereof; or (ii) the issuance and sale of all of the Placement Shares through Aegis on the terms and subject to the conditions set forth herein, except that, in either such case, the provisions of Section 9, Section 11, Section 12, Section 18 and Section 19 hereof will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remain in full force and effect unless terminated pursuant to Section 13(a), Section 13(b), Section 13(c), Section 13(d) above or otherwise by mutual agreement of the parties. Upon termination of this Agreement, the Company will not have any liability to Aegis for any discount, commission, or other compensation respecting any Placement Shares not otherwise sold by Aegis under this Agreement, except for any Placement Shares for which a Placement Notice has been delivered and accepted but which have not yet settled as of the termination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will be effective on the date specified in such notice of termination; provided, however, that such termination will not be effective until the close of business on the date of receipt of such notice by Aegis or the Company, as the case may be. If such termination will occur prior to the Settlement Date for any sale of Placement Shares, such Placement Shares will settle in accordance with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660" w:firstLine="1304"/>
        <w:spacing w:after="0" w:line="282" w:lineRule="auto"/>
        <w:tabs>
          <w:tab w:leader="none" w:pos="89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additional limitations set forth in Section 8 of this Agreement, in the event of termination of this Agreement prior to the sale of any Placement Shares, Aegis shall be entitled only to reimbursement of its reasonable and documented out-of-pocket expenses actually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firstLine="1304"/>
        <w:spacing w:after="0" w:line="282" w:lineRule="auto"/>
        <w:tabs>
          <w:tab w:leader="none" w:pos="8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or other communications required or permitted to be given by any party to any other party pursuant to the terms of this Agreement will be in writing, unless otherwise specified, and if sent to Aegis, will be delivered 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Aegis Capital Corp.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Kaufman &amp; Canoles, P.C.</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will be delivered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Expion360</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Stradling Yocca Carlson &amp; Rauth LLP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ind w:left="-660" w:firstLine="1304"/>
        <w:spacing w:after="0" w:line="261" w:lineRule="auto"/>
        <w:tabs>
          <w:tab w:leader="none" w:pos="8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notice or other communication will be deemed given: (i) when delivered personally on or before 4:30 p.m., New York City time, on a Business Day or, if such day is not a Business Day, on the next succeeding Business Day; or (ii) on the next Business Day after timely delivery to a nationally recognized overnight courier. For purposes of this Agreement,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xml:space="preserve"> will mean any day on which the Exchange and commercial banks in the City of New York are open for business.</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9" w:lineRule="auto"/>
        <w:tabs>
          <w:tab w:leader="none" w:pos="8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i w:val="1"/>
          <w:iCs w:val="1"/>
          <w:color w:val="auto"/>
        </w:rPr>
        <w:t>“Electronic Notice”</w:t>
      </w:r>
      <w:r>
        <w:rPr>
          <w:rFonts w:ascii="Times New Roman" w:cs="Times New Roman" w:eastAsia="Times New Roman" w:hAnsi="Times New Roman"/>
          <w:sz w:val="18"/>
          <w:szCs w:val="18"/>
          <w:color w:val="auto"/>
        </w:rPr>
        <w:t>) will be deemed written notice for purposes of this Section 14 if sent to the electronic mail address specified by the receiving party under separate cover. Electronic Notice will be deemed received at the time the party sending Electronic Notice receives confirmation of receipt by the receiving party. Any party receiving Electronic Notice may request and will be entitled to receive the notice on paper, in a nonelectronic form (</w:t>
      </w:r>
      <w:r>
        <w:rPr>
          <w:rFonts w:ascii="Times New Roman" w:cs="Times New Roman" w:eastAsia="Times New Roman" w:hAnsi="Times New Roman"/>
          <w:sz w:val="18"/>
          <w:szCs w:val="18"/>
          <w:b w:val="1"/>
          <w:bCs w:val="1"/>
          <w:i w:val="1"/>
          <w:iCs w:val="1"/>
          <w:color w:val="auto"/>
        </w:rPr>
        <w:t>“Nonelectronic Notice”</w:t>
      </w:r>
      <w:r>
        <w:rPr>
          <w:rFonts w:ascii="Times New Roman" w:cs="Times New Roman" w:eastAsia="Times New Roman" w:hAnsi="Times New Roman"/>
          <w:sz w:val="18"/>
          <w:szCs w:val="18"/>
          <w:color w:val="auto"/>
        </w:rPr>
        <w:t>), which will be sent to the requesting party within 10 days of receipt of the written request for Nonelectronic Notice.</w:t>
      </w:r>
    </w:p>
    <w:p>
      <w:pPr>
        <w:spacing w:after="0" w:line="183" w:lineRule="exact"/>
        <w:rPr>
          <w:rFonts w:ascii="Times New Roman" w:cs="Times New Roman" w:eastAsia="Times New Roman" w:hAnsi="Times New Roman"/>
          <w:sz w:val="18"/>
          <w:szCs w:val="18"/>
          <w:color w:val="auto"/>
        </w:rPr>
      </w:pPr>
    </w:p>
    <w:p>
      <w:pPr>
        <w:ind w:left="-660" w:right="20" w:firstLine="1304"/>
        <w:spacing w:after="0" w:line="282" w:lineRule="auto"/>
        <w:tabs>
          <w:tab w:leader="none" w:pos="8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259715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b w:val="1"/>
          <w:bCs w:val="1"/>
          <w:color w:val="auto"/>
        </w:rPr>
        <w:t>Section 15.</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Successors and Assigns. This Agreement will inure to the benefit of and be binding upon the Company and Aegis and their respective successors and the affiliates, controlling persons, partners, members, officers, directors, employees, and agents referred to in Section 11 hereof. References to any of the parties contained in this Agreement will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adjusted to take into account any share consolidation, stock split, stock dividend, corporate domestication or similar event effected with respect to the Placement Shares.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u w:val="single" w:color="auto"/>
          <w:color w:val="auto"/>
        </w:rPr>
        <w:t>Entire Agreement; Amendment; Severability</w:t>
      </w:r>
      <w:r>
        <w:rPr>
          <w:rFonts w:ascii="Times New Roman" w:cs="Times New Roman" w:eastAsia="Times New Roman" w:hAnsi="Times New Roman"/>
          <w:sz w:val="18"/>
          <w:szCs w:val="18"/>
          <w:color w:val="auto"/>
        </w:rPr>
        <w:t>. This Agreement (including all schedules and exhibits attached hereto and 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issued pursuant hereto), by and between the Company and Aegis constitutes the entire agreement of the parties respecting the subject matter hereof and thereof and supersedes all other prior and contemporaneous agreements and undertakings, both written and oral, among the parties hereto with regard to the subject matter hereof and thereof. Neither this Agreement nor any term hereof may be amended except pursuant to a written instrument executed by the Company and Aegis. In the event that any one or more of the provisions contained herein, or the application thereof in any circumstance, is held invalid, illegal, or unenforceable as written by a court of competent jurisdiction, then such provision will be given full force and effect to the fullest possible extent that it is valid, legal, and enforceable, and the remainder of the terms and provisions herein will be construed as if such invalid, illegal, or unenforceable term or provision was not contained herein, but only to the extent that giving effect to such provision and the remainder of the terms and provisions hereof will be in accordance with the intent of the parties as reflected in this Agreement.</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u w:val="single" w:color="auto"/>
          <w:color w:val="auto"/>
        </w:rPr>
        <w:t>APPLICABLE LAW; WAIVER OF JURY TRIAL</w:t>
      </w:r>
      <w:r>
        <w:rPr>
          <w:rFonts w:ascii="Times New Roman" w:cs="Times New Roman" w:eastAsia="Times New Roman" w:hAnsi="Times New Roman"/>
          <w:sz w:val="18"/>
          <w:szCs w:val="18"/>
          <w:b w:val="1"/>
          <w:bCs w:val="1"/>
          <w:color w:val="auto"/>
        </w:rPr>
        <w:t>. THIS AGREEMENT WILL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WILL CONSTITUTE GOOD AND SUFFICIENT SERVICE OF PROCESS AND NOTICE THEREOF. NOTHING CONTAINED HEREIN WILL BE DEEMED TO LIMIT IN ANY WAY ANY RIGHT TO SERVE PROCESS IN ANY MANNER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 </w:t>
      </w: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Aegis may not use any information gained in connection with this Agreement and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including due diligence, for any purpose except in connection with entering into this Agreement and providing services as distribution agent hereunder.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to be one and the same agreement. Counterparts may be delivered via facsimile, email (including PDF or any electronic signature complying with the U.S. federal ESIGN Act of 2000, e.g., www.docusign.com) or other transmission method, and any counterpart so delivered shall be deemed to have been duly and validly delivered and shall be valid and effective for all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and exhibit headings herein are for convenience only and will not affect the construction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The Company represents, warrants, and agrees that, unless it obtains the prior consent of Aegis,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Aegis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SEC. Any such free writing prospectus consented to by Aegis or by the Company, as the case may be, is hereinafter referred to as a </w:t>
      </w:r>
      <w:r>
        <w:rPr>
          <w:rFonts w:ascii="Times New Roman" w:cs="Times New Roman" w:eastAsia="Times New Roman" w:hAnsi="Times New Roman"/>
          <w:sz w:val="18"/>
          <w:szCs w:val="18"/>
          <w:b w:val="1"/>
          <w:bCs w:val="1"/>
          <w:i w:val="1"/>
          <w:iCs w:val="1"/>
          <w:color w:val="auto"/>
        </w:rPr>
        <w:t>“Permitted Free Writing Prospectus.”</w:t>
      </w:r>
      <w:r>
        <w:rPr>
          <w:rFonts w:ascii="Times New Roman" w:cs="Times New Roman" w:eastAsia="Times New Roman" w:hAnsi="Times New Roman"/>
          <w:sz w:val="18"/>
          <w:szCs w:val="18"/>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SEC where required, legending, and recordkeeping. For the purposes of clarity, the parties hereto agree that all free writing prospectuses, if any, listed in Exhibit C hereto are Permitted Free Writing Prospectuses.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9" w:lineRule="exact"/>
        <w:rPr>
          <w:sz w:val="20"/>
          <w:szCs w:val="20"/>
          <w:color w:val="auto"/>
        </w:rPr>
      </w:pPr>
    </w:p>
    <w:p>
      <w:pPr>
        <w:jc w:val="both"/>
        <w:ind w:firstLine="1304"/>
        <w:spacing w:after="0" w:line="256" w:lineRule="auto"/>
        <w:tabs>
          <w:tab w:leader="none" w:pos="15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Aegis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Aegis, on the other hand, has been or will be created in respect of any of the transactions contemplated by this Agreement, irrespective of whether or not Aegis has advised or is advising the Company on other matters, and Aegis has no obligation to the Company respecting the transactions contemplated by this Agreement except the obligations expressly set forth in this Agreement and any obligations imposed by applicable laws and regulations;</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ind w:firstLine="1304"/>
        <w:spacing w:after="0" w:line="282" w:lineRule="auto"/>
        <w:tabs>
          <w:tab w:leader="none" w:pos="153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Aegis has not provided any legal, accounting, regulatory or tax advice respecting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Aegis and its affiliates are engaged in a broad range of transactions that may involve interests that differ from those of the Company and Aegis has no obligation to disclose such interests and transactions to the Company by virtue of any fiduciary, advisory or agency relationship or otherwise; provided that Aegis hereby agrees not to engage in any such transaction that would cause its interests to be in direct conflict with the best interests of the Company;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Aegis for breach of fiduciary duty or alleged breach of fiduciary duty in connection with the sale of Placement Shares under this Agreement and agrees that Aegis will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Aegis’s obligations under this Agreement and to keep information provided by the Company to Aegis and Aegis’s counsel confidential to the extent not otherwise publicly available.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xml:space="preserve"> means: (i) each Representation Date; and (ii) the time of each sale of any Placement Shares pursuant to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xml:space="preserve"> means any “issuer free writing prospectus,” as defined in Rule 433, relating to the Placement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3" w:lineRule="exact"/>
        <w:rPr>
          <w:sz w:val="20"/>
          <w:szCs w:val="20"/>
          <w:color w:val="auto"/>
        </w:rPr>
      </w:pPr>
    </w:p>
    <w:p>
      <w:pPr>
        <w:ind w:firstLine="1304"/>
        <w:spacing w:after="0" w:line="286"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“Rule 164,” “Rule 172,” “Rule 405,” “Rule 415,” “Rule 424,” “Rule 424(b),” “Rule 430A,” “Rule 430B,”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“Rule 433” </w:t>
      </w:r>
      <w:r>
        <w:rPr>
          <w:rFonts w:ascii="Times New Roman" w:cs="Times New Roman" w:eastAsia="Times New Roman" w:hAnsi="Times New Roman"/>
          <w:sz w:val="18"/>
          <w:szCs w:val="18"/>
          <w:color w:val="auto"/>
        </w:rPr>
        <w:t>refer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rules under the Securities Act Regulations.</w:t>
      </w:r>
    </w:p>
    <w:p>
      <w:pPr>
        <w:spacing w:after="0" w:line="15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will be deemed to mean and include all such financial statements and schedules and other information that is incorporated by reference in the Registration Statement or the Prospectus, as the case may be.</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will be deemed to include the copy filed with the SEC pursuant to EDGAR; all references in this Agreement to any Issuer Free Writing Prospectus (other than any Issuer Free Writing Prospectuses that, pursuant to Rule 433, are not required to be filed with the SEC) will be deemed to include the copy thereof filed with the SEC pursuant to EDGAR; and all references in this Agreement to “supplements” to the Prospectus will include any supplements, “wrappers,” or similar materials prepared in connection with any offering, sale, or private placement of any Placement Shares by Aegis outside of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Expion360 Inc. – ATM Sales Agreement Signature Page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Aegis, please so indicate in the space provided below for that purpose, whereupon this letter will constitute a binding agreement between the Company and Aegis.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Hammer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AEGIS CAPITAL CORP.</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Robert Eide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Eide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schedules and exhibits to this agreement have been omitted pursuant to Item 601(a)(5) of Regulation S-K. A copy of any omitted schedule and/or exhibit will be furnished to the SEC upon request: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4"/>
    </w:lvl>
  </w:abstractNum>
  <w:abstractNum w:abstractNumId="2">
    <w:nsid w:val="721DA317"/>
    <w:multiLevelType w:val="hybridMultilevel"/>
    <w:lvl w:ilvl="0">
      <w:lvlJc w:val="left"/>
      <w:lvlText w:val="%1"/>
      <w:numFmt w:val="decimal"/>
      <w:start w:val="104"/>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2"/>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4"/>
    </w:lvl>
  </w:abstractNum>
  <w:abstractNum w:abstractNumId="7">
    <w:nsid w:val="8EDBDAB"/>
    <w:multiLevelType w:val="hybridMultilevel"/>
    <w:lvl w:ilvl="0">
      <w:lvlJc w:val="left"/>
      <w:lvlText w:val="%1"/>
      <w:numFmt w:val="lowerLetter"/>
      <w:start w:val="1"/>
    </w:lvl>
    <w:lvl w:ilvl="1">
      <w:lvlJc w:val="left"/>
      <w:lvlText w:val="(%2)"/>
      <w:numFmt w:val="lowerLetter"/>
      <w:start w:val="11"/>
    </w:lvl>
  </w:abstractNum>
  <w:abstractNum w:abstractNumId="8">
    <w:nsid w:val="79838CB2"/>
    <w:multiLevelType w:val="hybridMultilevel"/>
    <w:lvl w:ilvl="0">
      <w:lvlJc w:val="left"/>
      <w:lvlText w:val="(%1)"/>
      <w:numFmt w:val="lowerLetter"/>
      <w:start w:val="61"/>
    </w:lvl>
    <w:lvl w:ilvl="1">
      <w:lvlJc w:val="left"/>
      <w:lvlText w:val="(%2)"/>
      <w:numFmt w:val="lowerLetter"/>
      <w:start w:val="15"/>
    </w:lvl>
  </w:abstractNum>
  <w:abstractNum w:abstractNumId="9">
    <w:nsid w:val="4353D0CD"/>
    <w:multiLevelType w:val="hybridMultilevel"/>
    <w:lvl w:ilvl="0">
      <w:lvlJc w:val="left"/>
      <w:lvlText w:val="(%1)"/>
      <w:numFmt w:val="lowerLetter"/>
      <w:start w:val="20"/>
    </w:lvl>
  </w:abstractNum>
  <w:abstractNum w:abstractNumId="10">
    <w:nsid w:val="B03E0C6"/>
    <w:multiLevelType w:val="hybridMultilevel"/>
    <w:lvl w:ilvl="0">
      <w:lvlJc w:val="left"/>
      <w:lvlText w:val="(%1)"/>
      <w:numFmt w:val="lowerLetter"/>
      <w:start w:val="27"/>
    </w:lvl>
  </w:abstractNum>
  <w:abstractNum w:abstractNumId="11">
    <w:nsid w:val="189A769B"/>
    <w:multiLevelType w:val="hybridMultilevel"/>
    <w:lvl w:ilvl="0">
      <w:lvlJc w:val="left"/>
      <w:lvlText w:val="%1"/>
      <w:numFmt w:val="lowerLetter"/>
      <w:start w:val="1"/>
    </w:lvl>
    <w:lvl w:ilvl="1">
      <w:lvlJc w:val="left"/>
      <w:lvlText w:val="(%2)"/>
      <w:numFmt w:val="lowerLetter"/>
      <w:start w:val="28"/>
    </w:lvl>
  </w:abstractNum>
  <w:abstractNum w:abstractNumId="12">
    <w:nsid w:val="54E49EB4"/>
    <w:multiLevelType w:val="hybridMultilevel"/>
    <w:lvl w:ilvl="0">
      <w:lvlJc w:val="left"/>
      <w:lvlText w:val="(%1)"/>
      <w:numFmt w:val="lowerLetter"/>
      <w:start w:val="61"/>
    </w:lvl>
    <w:lvl w:ilvl="1">
      <w:lvlJc w:val="left"/>
      <w:lvlText w:val="(%2)"/>
      <w:numFmt w:val="lowerLetter"/>
      <w:start w:val="30"/>
    </w:lvl>
  </w:abstractNum>
  <w:abstractNum w:abstractNumId="13">
    <w:nsid w:val="71F32454"/>
    <w:multiLevelType w:val="hybridMultilevel"/>
    <w:lvl w:ilvl="0">
      <w:lvlJc w:val="left"/>
      <w:lvlText w:val="%1"/>
      <w:numFmt w:val="lowerLetter"/>
      <w:start w:val="1"/>
    </w:lvl>
    <w:lvl w:ilvl="1">
      <w:lvlJc w:val="left"/>
      <w:lvlText w:val="(%2)"/>
      <w:numFmt w:val="lowerLetter"/>
      <w:start w:val="38"/>
    </w:lvl>
    <w:lvl w:ilvl="2">
      <w:lvlJc w:val="left"/>
      <w:lvlText w:val="%3"/>
      <w:numFmt w:val="lowerRoman"/>
      <w:start w:val="1"/>
    </w:lvl>
    <w:lvl w:ilvl="3">
      <w:lvlJc w:val="left"/>
      <w:lvlText w:val="%4"/>
      <w:numFmt w:val="decimal"/>
      <w:start w:val="1"/>
    </w:lvl>
  </w:abstractNum>
  <w:abstractNum w:abstractNumId="14">
    <w:nsid w:val="2CA88611"/>
    <w:multiLevelType w:val="hybridMultilevel"/>
    <w:lvl w:ilvl="0">
      <w:lvlJc w:val="left"/>
      <w:lvlText w:val="(%1)"/>
      <w:numFmt w:val="lowerLetter"/>
      <w:start w:val="35"/>
    </w:lvl>
    <w:lvl w:ilvl="1">
      <w:lvlJc w:val="left"/>
      <w:lvlText w:val="(%2)"/>
      <w:numFmt w:val="lowerLetter"/>
      <w:start w:val="44"/>
    </w:lvl>
    <w:lvl w:ilvl="2">
      <w:lvlJc w:val="left"/>
      <w:lvlText w:val="(%3)"/>
      <w:numFmt w:val="lowerRoman"/>
      <w:start w:val="1"/>
    </w:lvl>
    <w:lvl w:ilvl="3">
      <w:lvlJc w:val="left"/>
      <w:lvlText w:val="(%4)"/>
      <w:numFmt w:val="decimal"/>
      <w:start w:val="1"/>
    </w:lvl>
  </w:abstractNum>
  <w:abstractNum w:abstractNumId="15">
    <w:nsid w:val="836C40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6">
    <w:nsid w:val="2901D82"/>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7">
    <w:nsid w:val="3A95F874"/>
    <w:multiLevelType w:val="hybridMultilevel"/>
    <w:lvl w:ilvl="0">
      <w:lvlJc w:val="left"/>
      <w:lvlText w:val="(%1)"/>
      <w:numFmt w:val="lowerLetter"/>
      <w:start w:val="45"/>
    </w:lvl>
    <w:lvl w:ilvl="1">
      <w:lvlJc w:val="left"/>
      <w:lvlText w:val="%2"/>
      <w:numFmt w:val="lowerLetter"/>
      <w:start w:val="1"/>
    </w:lvl>
    <w:lvl w:ilvl="2">
      <w:lvlJc w:val="left"/>
      <w:lvlText w:val="%3"/>
      <w:numFmt w:val="decimal"/>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6"/>
    </w:lvl>
  </w:abstractNum>
  <w:abstractNum w:abstractNumId="20">
    <w:nsid w:val="7C3DBD3D"/>
    <w:multiLevelType w:val="hybridMultilevel"/>
    <w:lvl w:ilvl="0">
      <w:lvlJc w:val="left"/>
      <w:lvlText w:val="(%1)"/>
      <w:numFmt w:val="lowerLetter"/>
      <w:start w:val="12"/>
    </w:lvl>
    <w:lvl w:ilvl="1">
      <w:lvlJc w:val="left"/>
      <w:lvlText w:val="(%2)"/>
      <w:numFmt w:val="lowerRoman"/>
      <w:start w:val="1"/>
    </w:lvl>
  </w:abstractNum>
  <w:abstractNum w:abstractNumId="21">
    <w:nsid w:val="737B8DDC"/>
    <w:multiLevelType w:val="hybridMultilevel"/>
    <w:lvl w:ilvl="0">
      <w:lvlJc w:val="left"/>
      <w:lvlText w:val="%1"/>
      <w:numFmt w:val="decimal"/>
      <w:start w:val="1"/>
    </w:lvl>
    <w:lvl w:ilvl="1">
      <w:lvlJc w:val="left"/>
      <w:lvlText w:val="(%2)"/>
      <w:numFmt w:val="lowerLetter"/>
      <w:start w:val="13"/>
    </w:lvl>
  </w:abstractNum>
  <w:abstractNum w:abstractNumId="22">
    <w:nsid w:val="6CEAF087"/>
    <w:multiLevelType w:val="hybridMultilevel"/>
    <w:lvl w:ilvl="0">
      <w:lvlJc w:val="left"/>
      <w:lvlText w:val="(%1)"/>
      <w:numFmt w:val="decimal"/>
      <w:start w:val="1"/>
    </w:lvl>
    <w:lvl w:ilvl="1">
      <w:lvlJc w:val="left"/>
      <w:lvlText w:val="%2"/>
      <w:numFmt w:val="lowerLetter"/>
      <w:start w:val="1"/>
    </w:lvl>
  </w:abstractNum>
  <w:abstractNum w:abstractNumId="23">
    <w:nsid w:val="22221A70"/>
    <w:multiLevelType w:val="hybridMultilevel"/>
    <w:lvl w:ilvl="0">
      <w:lvlJc w:val="left"/>
      <w:lvlText w:val="(%1)"/>
      <w:numFmt w:val="lowerLetter"/>
      <w:start w:val="14"/>
    </w:lvl>
  </w:abstractNum>
  <w:abstractNum w:abstractNumId="24">
    <w:nsid w:val="4516DDE9"/>
    <w:multiLevelType w:val="hybridMultilevel"/>
    <w:lvl w:ilvl="0">
      <w:lvlJc w:val="left"/>
      <w:lvlText w:val="(%1)"/>
      <w:numFmt w:val="lowerLetter"/>
      <w:start w:val="20"/>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8"/>
    </w:lvl>
  </w:abstractNum>
  <w:abstractNum w:abstractNumId="27">
    <w:nsid w:val="419AC241"/>
    <w:multiLevelType w:val="hybridMultilevel"/>
    <w:lvl w:ilvl="0">
      <w:lvlJc w:val="left"/>
      <w:lvlText w:val="(%1)"/>
      <w:numFmt w:val="lowerLetter"/>
      <w:start w:val="1"/>
    </w:lvl>
    <w:lvl w:ilvl="1">
      <w:lvlJc w:val="left"/>
      <w:lvlText w:val="(%2)"/>
      <w:numFmt w:val="lowerRoman"/>
      <w:start w:val="1"/>
    </w:lvl>
  </w:abstractNum>
  <w:abstractNum w:abstractNumId="28">
    <w:nsid w:val="5577F8E1"/>
    <w:multiLevelType w:val="hybridMultilevel"/>
    <w:lvl w:ilvl="0">
      <w:lvlJc w:val="left"/>
      <w:lvlText w:val="(%1)"/>
      <w:numFmt w:val="lowerRoman"/>
      <w:start w:val="3"/>
    </w:lvl>
  </w:abstractNum>
  <w:abstractNum w:abstractNumId="29">
    <w:nsid w:val="440BADFC"/>
    <w:multiLevelType w:val="hybridMultilevel"/>
    <w:lvl w:ilvl="0">
      <w:lvlJc w:val="left"/>
      <w:lvlText w:val="(%1)"/>
      <w:numFmt w:val="lowerLetter"/>
      <w:start w:val="2"/>
    </w:lvl>
    <w:lvl w:ilvl="1">
      <w:lvlJc w:val="left"/>
      <w:lvlText w:val="(%2)"/>
      <w:numFmt w:val="lowerRoman"/>
      <w:start w:val="1"/>
    </w:lvl>
  </w:abstractNum>
  <w:abstractNum w:abstractNumId="30">
    <w:nsid w:val="5072367"/>
    <w:multiLevelType w:val="hybridMultilevel"/>
    <w:lvl w:ilvl="0">
      <w:lvlJc w:val="left"/>
      <w:lvlText w:val="%1"/>
      <w:numFmt w:val="lowerLetter"/>
      <w:start w:val="1"/>
    </w:lvl>
    <w:lvl w:ilvl="1">
      <w:lvlJc w:val="left"/>
      <w:lvlText w:val="(%2)"/>
      <w:numFmt w:val="lowerRoman"/>
      <w:start w:val="3"/>
    </w:lvl>
  </w:abstractNum>
  <w:abstractNum w:abstractNumId="31">
    <w:nsid w:val="3804823E"/>
    <w:multiLevelType w:val="hybridMultilevel"/>
    <w:lvl w:ilvl="0">
      <w:lvlJc w:val="left"/>
      <w:lvlText w:val="(%1)"/>
      <w:numFmt w:val="lowerLetter"/>
      <w:start w:val="4"/>
    </w:lvl>
    <w:lvl w:ilvl="1">
      <w:lvlJc w:val="left"/>
      <w:lvlText w:val="%2"/>
      <w:numFmt w:val="lowerRoman"/>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2"/>
    </w:lvl>
    <w:lvl w:ilvl="1">
      <w:lvlJc w:val="left"/>
      <w:lvlText w:val="(%2)"/>
      <w:numFmt w:val="lowerLetter"/>
      <w:start w:val="35"/>
    </w:lvl>
  </w:abstractNum>
  <w:abstractNum w:abstractNumId="34">
    <w:nsid w:val="5C482A97"/>
    <w:multiLevelType w:val="hybridMultilevel"/>
    <w:lvl w:ilvl="0">
      <w:lvlJc w:val="left"/>
      <w:lvlText w:val="(%1)"/>
      <w:numFmt w:val="lowerLetter"/>
      <w:start w:val="3"/>
    </w:lvl>
  </w:abstractNum>
  <w:abstractNum w:abstractNumId="35">
    <w:nsid w:val="2463B9EA"/>
    <w:multiLevelType w:val="hybridMultilevel"/>
    <w:lvl w:ilvl="0">
      <w:lvlJc w:val="left"/>
      <w:lvlText w:val="(%1)"/>
      <w:numFmt w:val="lowerLetter"/>
      <w:start w:val="7"/>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2"/>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3"/>
    </w:lvl>
  </w:abstractNum>
  <w:abstractNum w:abstractNumId="40">
    <w:nsid w:val="153EA43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2025-12-15T16:24:31Z</dcterms:created>
  <dcterms:modified xsi:type="dcterms:W3CDTF">2025-12-15T16:24:31Z</dcterms:modified>
</cp:coreProperties>
</file>