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right"/>
        <w:rPr>
          <w:rFonts w:ascii="Times New Roman;Times;Serif" w:hAnsi="Times New Roman;Times;Serif"/>
          <w:b/>
          <w:sz w:val="20"/>
        </w:rPr>
      </w:pPr>
      <w:bookmarkStart w:id="0" w:name="xpon_424b3.htm"/>
      <w:bookmarkStart w:id="1" w:name="ksxpon_424b3"/>
      <w:bookmarkEnd w:id="0"/>
      <w:bookmarkEnd w:id="1"/>
      <w:r>
        <w:rPr>
          <w:rFonts w:ascii="Times New Roman;Times;Serif" w:hAnsi="Times New Roman;Times;Serif"/>
          <w:b/>
          <w:sz w:val="20"/>
        </w:rPr>
        <w:t>Filed Pursuant to Rule 424(b)(3)</w:t>
      </w:r>
    </w:p>
    <w:p>
      <w:pPr>
        <w:pStyle w:val="TextBody"/>
        <w:jc w:val="right"/>
        <w:rPr>
          <w:rFonts w:ascii="Times New Roman;Times;Serif" w:hAnsi="Times New Roman;Times;Serif"/>
          <w:b/>
          <w:sz w:val="20"/>
        </w:rPr>
      </w:pPr>
      <w:r>
        <w:rPr>
          <w:rFonts w:ascii="Times New Roman;Times;Serif" w:hAnsi="Times New Roman;Times;Serif"/>
          <w:b/>
          <w:sz w:val="20"/>
        </w:rPr>
        <w:t>Registration No. 333-262285 </w:t>
      </w:r>
    </w:p>
    <w:p>
      <w:pPr>
        <w:pStyle w:val="TextBody"/>
        <w:jc w:val="right"/>
        <w:rPr/>
      </w:pPr>
      <w:r>
        <w:rPr/>
        <w:t> </w:t>
      </w:r>
    </w:p>
    <w:p>
      <w:pPr>
        <w:pStyle w:val="TextBody"/>
        <w:spacing w:before="0" w:after="180"/>
        <w:jc w:val="center"/>
        <w:rPr>
          <w:b/>
          <w:sz w:val="20"/>
        </w:rPr>
      </w:pPr>
      <w:r>
        <w:rPr>
          <w:b/>
          <w:sz w:val="20"/>
        </w:rPr>
        <w:t>PROSPECTUS</w:t>
      </w:r>
    </w:p>
    <w:p>
      <w:pPr>
        <w:pStyle w:val="TextBody"/>
        <w:jc w:val="center"/>
        <w:rPr/>
      </w:pPr>
      <w:r>
        <w:rPr/>
        <w:drawing>
          <wp:inline distT="0" distB="0" distL="0" distR="0">
            <wp:extent cx="7620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800100"/>
                    </a:xfrm>
                    <a:prstGeom prst="rect">
                      <a:avLst/>
                    </a:prstGeom>
                  </pic:spPr>
                </pic:pic>
              </a:graphicData>
            </a:graphic>
          </wp:inline>
        </w:drawing>
      </w:r>
    </w:p>
    <w:p>
      <w:pPr>
        <w:pStyle w:val="TextBody"/>
        <w:jc w:val="center"/>
        <w:rPr>
          <w:rFonts w:ascii="Times New Roman;Times;Serif" w:hAnsi="Times New Roman;Times;Serif"/>
          <w:b/>
          <w:sz w:val="20"/>
        </w:rPr>
      </w:pPr>
      <w:r>
        <w:rPr>
          <w:rFonts w:ascii="Times New Roman;Times;Serif" w:hAnsi="Times New Roman;Times;Serif"/>
          <w:b/>
          <w:sz w:val="20"/>
        </w:rPr>
        <w:t>Expion360 Inc.</w:t>
      </w:r>
    </w:p>
    <w:p>
      <w:pPr>
        <w:pStyle w:val="TextBody"/>
        <w:jc w:val="center"/>
        <w:rPr/>
      </w:pPr>
      <w:r>
        <w:rPr/>
        <w:t> </w:t>
      </w:r>
    </w:p>
    <w:p>
      <w:pPr>
        <w:pStyle w:val="TextBody"/>
        <w:jc w:val="center"/>
        <w:rPr>
          <w:rFonts w:ascii="Times New Roman;Times;Serif" w:hAnsi="Times New Roman;Times;Serif"/>
          <w:b/>
          <w:sz w:val="20"/>
        </w:rPr>
      </w:pPr>
      <w:r>
        <w:rPr>
          <w:rFonts w:ascii="Times New Roman;Times;Serif" w:hAnsi="Times New Roman;Times;Serif"/>
          <w:b/>
          <w:sz w:val="20"/>
        </w:rPr>
        <w:t>546,976 Shares of Common Stock</w:t>
      </w:r>
    </w:p>
    <w:p>
      <w:pPr>
        <w:pStyle w:val="TextBody"/>
        <w:jc w:val="center"/>
        <w:rPr/>
      </w:pPr>
      <w:r>
        <w:rPr/>
        <w:t> </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This prospectus relates to the offer for sale of up to an aggregate of 546,976 shares of common stock, par value $0.001 per share, of Expion360 Inc., a Nevada corporation, by the selling stockholders identified herein (referred to collectively herein as the “selling stockholders,” or, individually, as a “selling stockholder”). The shares have been issued or are issuable upon exercise of the warrants (the “warrants”) granted to the selling stockholders. The exercise price of the warrants is $3.32 per share, and they expire in November 2031.</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We are not selling securities under this prospectus and will not receive any of the proceeds from the sale of shares by the selling stockholders. Including any proceeds received from the exercise of warrants for cash prior to the date of this prospectus, we may receive up to approximately $1,782,259.00 aggregate gross proceeds from the exercise of the warrants for cash.</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After exercise of the warrants, the selling stockholders may sell the shares of common stock described in this prospectus in a number of different ways and at varying prices. See “Plan of Distribution” for more information about how the selling stockholders may sell the shares of common stock being registered pursuant to this prospectus. Each selling stockholder may be considered “underwriter” within the meaning of Section 2(a)(11) of the Securities Act of 1933, as amended.</w:t>
      </w:r>
    </w:p>
    <w:p>
      <w:pPr>
        <w:pStyle w:val="TextBody"/>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“XPON”. On April 20, 2023, the last reported sales price of our common stock was $4.62 per share.</w:t>
      </w:r>
    </w:p>
    <w:p>
      <w:pPr>
        <w:pStyle w:val="TextBody"/>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pStyle w:val="TextBody"/>
        <w:spacing w:before="0" w:after="180"/>
        <w:ind w:left="0" w:right="0" w:firstLine="36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is highly speculative and involves a high degree of risk.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xml:space="preserve">” beginning on page 10 of this prospectus for a discussion of information that should be considered in connection with an investment in our securities. </w:t>
      </w:r>
    </w:p>
    <w:p>
      <w:pPr>
        <w:pStyle w:val="TextBody"/>
        <w:spacing w:before="0" w:after="180"/>
        <w:ind w:left="0" w:right="0" w:firstLine="360"/>
        <w:rPr>
          <w:rFonts w:ascii="Times New Roman;Times;Serif" w:hAnsi="Times New Roman;Times;Serif"/>
          <w:b/>
          <w:sz w:val="20"/>
        </w:rPr>
      </w:pPr>
      <w:r>
        <w:rPr>
          <w:rFonts w:ascii="Times New Roman;Times;Serif" w:hAnsi="Times New Roman;Times;Serif"/>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spacing w:before="0" w:after="180"/>
        <w:jc w:val="center"/>
        <w:rPr>
          <w:rFonts w:ascii="Times New Roman;Times;Serif" w:hAnsi="Times New Roman;Times;Serif"/>
          <w:b/>
          <w:sz w:val="20"/>
        </w:rPr>
      </w:pPr>
      <w:r>
        <w:rPr>
          <w:rFonts w:ascii="Times New Roman;Times;Serif" w:hAnsi="Times New Roman;Times;Serif"/>
          <w:b/>
          <w:sz w:val="20"/>
        </w:rPr>
        <w:t>The date of this prospectus is April 27, 2023</w:t>
      </w:r>
    </w:p>
    <w:p>
      <w:pPr>
        <w:pStyle w:val="TextBody"/>
        <w:spacing w:before="0" w:after="0"/>
        <w:jc w:val="center"/>
        <w:rPr>
          <w:caps w:val="false"/>
          <w:smallCaps w:val="false"/>
          <w:bdr w:val="single" w:sz="16" w:space="1" w:color="000000"/>
        </w:rPr>
      </w:pPr>
      <w:r>
        <w:rPr>
          <w:caps w:val="false"/>
          <w:smallCaps w:val="false"/>
          <w:bdr w:val="single" w:sz="16" w:space="1" w:color="000000"/>
        </w:rPr>
        <w:t> </w:t>
      </w:r>
    </w:p>
    <w:p>
      <w:pPr>
        <w:pStyle w:val="TextBody"/>
        <w:spacing w:before="0" w:after="0"/>
        <w:ind w:left="0" w:right="0" w:hanging="0"/>
        <w:rPr/>
      </w:pPr>
      <w:r>
        <w:rPr/>
        <w:t> </w:t>
      </w:r>
    </w:p>
    <w:p>
      <w:pPr>
        <w:pStyle w:val="TextBody"/>
        <w:spacing w:before="0" w:after="180"/>
        <w:jc w:val="center"/>
        <w:rPr>
          <w:rFonts w:ascii="Times New Roman;Times;Serif" w:hAnsi="Times New Roman;Times;Serif"/>
          <w:b/>
          <w:sz w:val="20"/>
        </w:rPr>
      </w:pPr>
      <w:r>
        <w:rPr>
          <w:rFonts w:ascii="Times New Roman;Times;Serif" w:hAnsi="Times New Roman;Times;Serif"/>
          <w:b/>
          <w:sz w:val="20"/>
        </w:rPr>
        <w:t>TABLE OF CONTENTS</w:t>
      </w:r>
    </w:p>
    <w:tbl>
      <w:tblPr>
        <w:tblW w:w="4930" w:type="dxa"/>
        <w:jc w:val="left"/>
        <w:tblInd w:w="0" w:type="dxa"/>
        <w:tblCellMar>
          <w:top w:w="0" w:type="dxa"/>
          <w:left w:w="0" w:type="dxa"/>
          <w:bottom w:w="0" w:type="dxa"/>
          <w:right w:w="0" w:type="dxa"/>
        </w:tblCellMar>
      </w:tblPr>
      <w:tblGrid>
        <w:gridCol w:w="4685"/>
        <w:gridCol w:w="245"/>
      </w:tblGrid>
      <w:tr>
        <w:trPr/>
        <w:tc>
          <w:tcPr>
            <w:tcW w:w="4685" w:type="dxa"/>
            <w:tcBorders/>
            <w:shd w:fill="auto" w:val="clear"/>
            <w:vAlign w:val="center"/>
          </w:tcPr>
          <w:p>
            <w:pPr>
              <w:pStyle w:val="TableContents"/>
              <w:spacing w:before="0" w:after="283"/>
              <w:jc w:val="left"/>
              <w:rPr/>
            </w:pPr>
            <w:hyperlink w:anchor="a_001">
              <w:r>
                <w:rPr>
                  <w:rStyle w:val="InternetLink"/>
                  <w:rFonts w:ascii="Times New Roman;Times;Serif" w:hAnsi="Times New Roman;Times;Serif"/>
                  <w:sz w:val="20"/>
                </w:rPr>
                <w:t>About This Prospectus</w:t>
              </w:r>
            </w:hyperlink>
          </w:p>
        </w:tc>
        <w:tc>
          <w:tcPr>
            <w:tcW w:w="245" w:type="dxa"/>
            <w:tcBorders/>
            <w:shd w:fill="auto" w:val="clear"/>
            <w:vAlign w:val="center"/>
          </w:tcPr>
          <w:p>
            <w:pPr>
              <w:pStyle w:val="TableContents"/>
              <w:spacing w:before="0" w:after="283"/>
              <w:jc w:val="right"/>
              <w:rPr/>
            </w:pPr>
            <w:hyperlink w:anchor="a_001">
              <w:r>
                <w:rPr>
                  <w:rStyle w:val="InternetLink"/>
                  <w:rFonts w:ascii="Times New Roman;Times;Serif" w:hAnsi="Times New Roman;Times;Serif"/>
                  <w:sz w:val="20"/>
                </w:rPr>
                <w:t>1</w:t>
              </w:r>
            </w:hyperlink>
          </w:p>
        </w:tc>
      </w:tr>
      <w:tr>
        <w:trPr/>
        <w:tc>
          <w:tcPr>
            <w:tcW w:w="4685" w:type="dxa"/>
            <w:tcBorders/>
            <w:shd w:fill="auto" w:val="clear"/>
            <w:vAlign w:val="center"/>
          </w:tcPr>
          <w:p>
            <w:pPr>
              <w:pStyle w:val="TableContents"/>
              <w:spacing w:before="0" w:after="283"/>
              <w:jc w:val="left"/>
              <w:rPr/>
            </w:pPr>
            <w:hyperlink w:anchor="a_002">
              <w:r>
                <w:rPr>
                  <w:rStyle w:val="InternetLink"/>
                  <w:rFonts w:ascii="Times New Roman;Times;Serif" w:hAnsi="Times New Roman;Times;Serif"/>
                  <w:sz w:val="20"/>
                </w:rPr>
                <w:t>Selected Definitions</w:t>
              </w:r>
            </w:hyperlink>
          </w:p>
        </w:tc>
        <w:tc>
          <w:tcPr>
            <w:tcW w:w="245" w:type="dxa"/>
            <w:tcBorders/>
            <w:shd w:fill="auto" w:val="clear"/>
            <w:vAlign w:val="center"/>
          </w:tcPr>
          <w:p>
            <w:pPr>
              <w:pStyle w:val="TableContents"/>
              <w:spacing w:before="0" w:after="283"/>
              <w:jc w:val="right"/>
              <w:rPr/>
            </w:pPr>
            <w:hyperlink w:anchor="a_002">
              <w:r>
                <w:rPr>
                  <w:rStyle w:val="InternetLink"/>
                  <w:rFonts w:ascii="Times New Roman;Times;Serif" w:hAnsi="Times New Roman;Times;Serif"/>
                  <w:sz w:val="20"/>
                </w:rPr>
                <w:t>2</w:t>
              </w:r>
            </w:hyperlink>
          </w:p>
        </w:tc>
      </w:tr>
      <w:tr>
        <w:trPr/>
        <w:tc>
          <w:tcPr>
            <w:tcW w:w="4685" w:type="dxa"/>
            <w:tcBorders/>
            <w:shd w:fill="auto" w:val="clear"/>
            <w:vAlign w:val="center"/>
          </w:tcPr>
          <w:p>
            <w:pPr>
              <w:pStyle w:val="TableContents"/>
              <w:spacing w:before="0" w:after="283"/>
              <w:jc w:val="left"/>
              <w:rPr/>
            </w:pPr>
            <w:hyperlink w:anchor="a_003">
              <w:r>
                <w:rPr>
                  <w:rStyle w:val="InternetLink"/>
                  <w:rFonts w:ascii="Times New Roman;Times;Serif" w:hAnsi="Times New Roman;Times;Serif"/>
                  <w:sz w:val="20"/>
                </w:rPr>
                <w:t>Cautionary Note Regarding Forward-Looking Statements</w:t>
              </w:r>
            </w:hyperlink>
          </w:p>
        </w:tc>
        <w:tc>
          <w:tcPr>
            <w:tcW w:w="245" w:type="dxa"/>
            <w:tcBorders/>
            <w:shd w:fill="auto" w:val="clear"/>
            <w:vAlign w:val="center"/>
          </w:tcPr>
          <w:p>
            <w:pPr>
              <w:pStyle w:val="TableContents"/>
              <w:spacing w:before="0" w:after="283"/>
              <w:jc w:val="right"/>
              <w:rPr/>
            </w:pPr>
            <w:hyperlink w:anchor="a_003">
              <w:r>
                <w:rPr>
                  <w:rStyle w:val="InternetLink"/>
                  <w:rFonts w:ascii="Times New Roman;Times;Serif" w:hAnsi="Times New Roman;Times;Serif"/>
                  <w:sz w:val="20"/>
                </w:rPr>
                <w:t>3</w:t>
              </w:r>
            </w:hyperlink>
          </w:p>
        </w:tc>
      </w:tr>
      <w:tr>
        <w:trPr/>
        <w:tc>
          <w:tcPr>
            <w:tcW w:w="4685" w:type="dxa"/>
            <w:tcBorders/>
            <w:shd w:fill="auto" w:val="clear"/>
            <w:vAlign w:val="center"/>
          </w:tcPr>
          <w:p>
            <w:pPr>
              <w:pStyle w:val="TableContents"/>
              <w:spacing w:before="0" w:after="283"/>
              <w:jc w:val="left"/>
              <w:rPr/>
            </w:pPr>
            <w:hyperlink w:anchor="a_004">
              <w:r>
                <w:rPr>
                  <w:rStyle w:val="InternetLink"/>
                  <w:rFonts w:ascii="Times New Roman;Times;Serif" w:hAnsi="Times New Roman;Times;Serif"/>
                  <w:sz w:val="20"/>
                </w:rPr>
                <w:t>Where You Can Find More Information</w:t>
              </w:r>
            </w:hyperlink>
          </w:p>
        </w:tc>
        <w:tc>
          <w:tcPr>
            <w:tcW w:w="245" w:type="dxa"/>
            <w:tcBorders/>
            <w:shd w:fill="auto" w:val="clear"/>
            <w:vAlign w:val="center"/>
          </w:tcPr>
          <w:p>
            <w:pPr>
              <w:pStyle w:val="TableContents"/>
              <w:spacing w:before="0" w:after="283"/>
              <w:jc w:val="right"/>
              <w:rPr/>
            </w:pPr>
            <w:hyperlink w:anchor="a_004">
              <w:r>
                <w:rPr>
                  <w:rStyle w:val="InternetLink"/>
                  <w:rFonts w:ascii="Times New Roman;Times;Serif" w:hAnsi="Times New Roman;Times;Serif"/>
                  <w:sz w:val="20"/>
                </w:rPr>
                <w:t>5</w:t>
              </w:r>
            </w:hyperlink>
          </w:p>
        </w:tc>
      </w:tr>
      <w:tr>
        <w:trPr/>
        <w:tc>
          <w:tcPr>
            <w:tcW w:w="4685" w:type="dxa"/>
            <w:tcBorders/>
            <w:shd w:fill="auto" w:val="clear"/>
            <w:vAlign w:val="center"/>
          </w:tcPr>
          <w:p>
            <w:pPr>
              <w:pStyle w:val="TableContents"/>
              <w:spacing w:before="0" w:after="283"/>
              <w:jc w:val="left"/>
              <w:rPr/>
            </w:pPr>
            <w:hyperlink w:anchor="a_005">
              <w:r>
                <w:rPr>
                  <w:rStyle w:val="InternetLink"/>
                  <w:rFonts w:ascii="Times New Roman;Times;Serif" w:hAnsi="Times New Roman;Times;Serif"/>
                  <w:sz w:val="20"/>
                </w:rPr>
                <w:t>Incorporation By Reference</w:t>
              </w:r>
            </w:hyperlink>
          </w:p>
        </w:tc>
        <w:tc>
          <w:tcPr>
            <w:tcW w:w="245" w:type="dxa"/>
            <w:tcBorders/>
            <w:shd w:fill="auto" w:val="clear"/>
            <w:vAlign w:val="center"/>
          </w:tcPr>
          <w:p>
            <w:pPr>
              <w:pStyle w:val="TableContents"/>
              <w:spacing w:before="0" w:after="283"/>
              <w:jc w:val="right"/>
              <w:rPr/>
            </w:pPr>
            <w:hyperlink w:anchor="a_005">
              <w:r>
                <w:rPr>
                  <w:rStyle w:val="InternetLink"/>
                  <w:rFonts w:ascii="Times New Roman;Times;Serif" w:hAnsi="Times New Roman;Times;Serif"/>
                  <w:sz w:val="20"/>
                </w:rPr>
                <w:t>6</w:t>
              </w:r>
            </w:hyperlink>
          </w:p>
        </w:tc>
      </w:tr>
      <w:tr>
        <w:trPr/>
        <w:tc>
          <w:tcPr>
            <w:tcW w:w="4685" w:type="dxa"/>
            <w:tcBorders/>
            <w:shd w:fill="auto" w:val="clear"/>
            <w:vAlign w:val="center"/>
          </w:tcPr>
          <w:p>
            <w:pPr>
              <w:pStyle w:val="TableContents"/>
              <w:spacing w:before="0" w:after="283"/>
              <w:jc w:val="left"/>
              <w:rPr/>
            </w:pPr>
            <w:hyperlink w:anchor="a_006">
              <w:r>
                <w:rPr>
                  <w:rStyle w:val="InternetLink"/>
                  <w:rFonts w:ascii="Times New Roman;Times;Serif" w:hAnsi="Times New Roman;Times;Serif"/>
                  <w:sz w:val="20"/>
                </w:rPr>
                <w:t>Prospectus Summary</w:t>
              </w:r>
            </w:hyperlink>
          </w:p>
        </w:tc>
        <w:tc>
          <w:tcPr>
            <w:tcW w:w="245" w:type="dxa"/>
            <w:tcBorders/>
            <w:shd w:fill="auto" w:val="clear"/>
            <w:vAlign w:val="center"/>
          </w:tcPr>
          <w:p>
            <w:pPr>
              <w:pStyle w:val="TableContents"/>
              <w:spacing w:before="0" w:after="283"/>
              <w:jc w:val="right"/>
              <w:rPr/>
            </w:pPr>
            <w:hyperlink w:anchor="a_006">
              <w:r>
                <w:rPr>
                  <w:rStyle w:val="InternetLink"/>
                  <w:rFonts w:ascii="Times New Roman;Times;Serif" w:hAnsi="Times New Roman;Times;Serif"/>
                  <w:sz w:val="20"/>
                </w:rPr>
                <w:t>7</w:t>
              </w:r>
            </w:hyperlink>
          </w:p>
        </w:tc>
      </w:tr>
      <w:tr>
        <w:trPr/>
        <w:tc>
          <w:tcPr>
            <w:tcW w:w="4685" w:type="dxa"/>
            <w:tcBorders/>
            <w:shd w:fill="auto" w:val="clear"/>
            <w:vAlign w:val="center"/>
          </w:tcPr>
          <w:p>
            <w:pPr>
              <w:pStyle w:val="TableContents"/>
              <w:spacing w:before="0" w:after="283"/>
              <w:jc w:val="left"/>
              <w:rPr/>
            </w:pPr>
            <w:hyperlink w:anchor="a_007">
              <w:r>
                <w:rPr>
                  <w:rStyle w:val="InternetLink"/>
                  <w:rFonts w:ascii="Times New Roman;Times;Serif" w:hAnsi="Times New Roman;Times;Serif"/>
                  <w:sz w:val="20"/>
                </w:rPr>
                <w:t>The Offering</w:t>
              </w:r>
            </w:hyperlink>
          </w:p>
        </w:tc>
        <w:tc>
          <w:tcPr>
            <w:tcW w:w="245" w:type="dxa"/>
            <w:tcBorders/>
            <w:shd w:fill="auto" w:val="clear"/>
            <w:vAlign w:val="center"/>
          </w:tcPr>
          <w:p>
            <w:pPr>
              <w:pStyle w:val="TableContents"/>
              <w:spacing w:before="0" w:after="283"/>
              <w:jc w:val="right"/>
              <w:rPr/>
            </w:pPr>
            <w:hyperlink w:anchor="a_007">
              <w:r>
                <w:rPr>
                  <w:rStyle w:val="InternetLink"/>
                  <w:rFonts w:ascii="Times New Roman;Times;Serif" w:hAnsi="Times New Roman;Times;Serif"/>
                  <w:sz w:val="20"/>
                </w:rPr>
                <w:t>9</w:t>
              </w:r>
            </w:hyperlink>
          </w:p>
        </w:tc>
      </w:tr>
      <w:tr>
        <w:trPr/>
        <w:tc>
          <w:tcPr>
            <w:tcW w:w="4685" w:type="dxa"/>
            <w:tcBorders/>
            <w:shd w:fill="auto" w:val="clear"/>
            <w:vAlign w:val="center"/>
          </w:tcPr>
          <w:p>
            <w:pPr>
              <w:pStyle w:val="TableContents"/>
              <w:spacing w:before="0" w:after="283"/>
              <w:jc w:val="left"/>
              <w:rPr/>
            </w:pPr>
            <w:hyperlink w:anchor="a_008">
              <w:r>
                <w:rPr>
                  <w:rStyle w:val="InternetLink"/>
                  <w:rFonts w:ascii="Times New Roman;Times;Serif" w:hAnsi="Times New Roman;Times;Serif"/>
                  <w:sz w:val="20"/>
                </w:rPr>
                <w:t>Risk Factors</w:t>
              </w:r>
            </w:hyperlink>
          </w:p>
        </w:tc>
        <w:tc>
          <w:tcPr>
            <w:tcW w:w="245" w:type="dxa"/>
            <w:tcBorders/>
            <w:shd w:fill="auto" w:val="clear"/>
            <w:vAlign w:val="center"/>
          </w:tcPr>
          <w:p>
            <w:pPr>
              <w:pStyle w:val="TableContents"/>
              <w:spacing w:before="0" w:after="283"/>
              <w:jc w:val="right"/>
              <w:rPr/>
            </w:pPr>
            <w:hyperlink w:anchor="a_008">
              <w:r>
                <w:rPr>
                  <w:rStyle w:val="InternetLink"/>
                  <w:rFonts w:ascii="Times New Roman;Times;Serif" w:hAnsi="Times New Roman;Times;Serif"/>
                  <w:sz w:val="20"/>
                </w:rPr>
                <w:t>10</w:t>
              </w:r>
            </w:hyperlink>
          </w:p>
        </w:tc>
      </w:tr>
      <w:tr>
        <w:trPr/>
        <w:tc>
          <w:tcPr>
            <w:tcW w:w="4685" w:type="dxa"/>
            <w:tcBorders/>
            <w:shd w:fill="auto" w:val="clear"/>
            <w:vAlign w:val="center"/>
          </w:tcPr>
          <w:p>
            <w:pPr>
              <w:pStyle w:val="TableContents"/>
              <w:spacing w:before="0" w:after="283"/>
              <w:jc w:val="left"/>
              <w:rPr/>
            </w:pPr>
            <w:hyperlink w:anchor="a_009">
              <w:r>
                <w:rPr>
                  <w:rStyle w:val="InternetLink"/>
                  <w:rFonts w:ascii="Times New Roman;Times;Serif" w:hAnsi="Times New Roman;Times;Serif"/>
                  <w:sz w:val="20"/>
                </w:rPr>
                <w:t>Use of Proceeds</w:t>
              </w:r>
            </w:hyperlink>
          </w:p>
        </w:tc>
        <w:tc>
          <w:tcPr>
            <w:tcW w:w="245" w:type="dxa"/>
            <w:tcBorders/>
            <w:shd w:fill="auto" w:val="clear"/>
            <w:vAlign w:val="center"/>
          </w:tcPr>
          <w:p>
            <w:pPr>
              <w:pStyle w:val="TableContents"/>
              <w:spacing w:before="0" w:after="283"/>
              <w:jc w:val="right"/>
              <w:rPr/>
            </w:pPr>
            <w:hyperlink w:anchor="a_009">
              <w:r>
                <w:rPr>
                  <w:rStyle w:val="InternetLink"/>
                  <w:rFonts w:ascii="Times New Roman;Times;Serif" w:hAnsi="Times New Roman;Times;Serif"/>
                  <w:sz w:val="20"/>
                </w:rPr>
                <w:t>11</w:t>
              </w:r>
            </w:hyperlink>
          </w:p>
        </w:tc>
      </w:tr>
      <w:tr>
        <w:trPr/>
        <w:tc>
          <w:tcPr>
            <w:tcW w:w="4685" w:type="dxa"/>
            <w:tcBorders/>
            <w:shd w:fill="auto" w:val="clear"/>
            <w:vAlign w:val="center"/>
          </w:tcPr>
          <w:p>
            <w:pPr>
              <w:pStyle w:val="TableContents"/>
              <w:spacing w:before="0" w:after="283"/>
              <w:jc w:val="left"/>
              <w:rPr/>
            </w:pPr>
            <w:hyperlink w:anchor="a_010">
              <w:r>
                <w:rPr>
                  <w:rStyle w:val="InternetLink"/>
                  <w:rFonts w:ascii="Times New Roman;Times;Serif" w:hAnsi="Times New Roman;Times;Serif"/>
                  <w:sz w:val="20"/>
                </w:rPr>
                <w:t>Description of Capital Stock</w:t>
              </w:r>
            </w:hyperlink>
          </w:p>
        </w:tc>
        <w:tc>
          <w:tcPr>
            <w:tcW w:w="245" w:type="dxa"/>
            <w:tcBorders/>
            <w:shd w:fill="auto" w:val="clear"/>
            <w:vAlign w:val="center"/>
          </w:tcPr>
          <w:p>
            <w:pPr>
              <w:pStyle w:val="TableContents"/>
              <w:spacing w:before="0" w:after="283"/>
              <w:jc w:val="right"/>
              <w:rPr/>
            </w:pPr>
            <w:hyperlink w:anchor="a_010">
              <w:r>
                <w:rPr>
                  <w:rStyle w:val="InternetLink"/>
                  <w:rFonts w:ascii="Times New Roman;Times;Serif" w:hAnsi="Times New Roman;Times;Serif"/>
                  <w:sz w:val="20"/>
                </w:rPr>
                <w:t>12</w:t>
              </w:r>
            </w:hyperlink>
          </w:p>
        </w:tc>
      </w:tr>
      <w:tr>
        <w:trPr/>
        <w:tc>
          <w:tcPr>
            <w:tcW w:w="4685" w:type="dxa"/>
            <w:tcBorders/>
            <w:shd w:fill="auto" w:val="clear"/>
            <w:vAlign w:val="center"/>
          </w:tcPr>
          <w:p>
            <w:pPr>
              <w:pStyle w:val="TableContents"/>
              <w:spacing w:before="0" w:after="283"/>
              <w:jc w:val="left"/>
              <w:rPr/>
            </w:pPr>
            <w:hyperlink w:anchor="a_011">
              <w:r>
                <w:rPr>
                  <w:rStyle w:val="InternetLink"/>
                  <w:rFonts w:ascii="Times New Roman;Times;Serif" w:hAnsi="Times New Roman;Times;Serif"/>
                  <w:sz w:val="20"/>
                </w:rPr>
                <w:t>Selling Stockholders</w:t>
              </w:r>
            </w:hyperlink>
          </w:p>
        </w:tc>
        <w:tc>
          <w:tcPr>
            <w:tcW w:w="245" w:type="dxa"/>
            <w:tcBorders/>
            <w:shd w:fill="auto" w:val="clear"/>
            <w:vAlign w:val="center"/>
          </w:tcPr>
          <w:p>
            <w:pPr>
              <w:pStyle w:val="TableContents"/>
              <w:spacing w:before="0" w:after="283"/>
              <w:jc w:val="right"/>
              <w:rPr/>
            </w:pPr>
            <w:hyperlink w:anchor="a_011">
              <w:r>
                <w:rPr>
                  <w:rStyle w:val="InternetLink"/>
                  <w:rFonts w:ascii="Times New Roman;Times;Serif" w:hAnsi="Times New Roman;Times;Serif"/>
                  <w:sz w:val="20"/>
                </w:rPr>
                <w:t>16</w:t>
              </w:r>
            </w:hyperlink>
          </w:p>
        </w:tc>
      </w:tr>
      <w:tr>
        <w:trPr/>
        <w:tc>
          <w:tcPr>
            <w:tcW w:w="4685" w:type="dxa"/>
            <w:tcBorders/>
            <w:shd w:fill="auto" w:val="clear"/>
            <w:vAlign w:val="center"/>
          </w:tcPr>
          <w:p>
            <w:pPr>
              <w:pStyle w:val="TableContents"/>
              <w:spacing w:before="0" w:after="283"/>
              <w:jc w:val="left"/>
              <w:rPr/>
            </w:pPr>
            <w:hyperlink w:anchor="a_012">
              <w:r>
                <w:rPr>
                  <w:rStyle w:val="InternetLink"/>
                  <w:rFonts w:ascii="Times New Roman;Times;Serif" w:hAnsi="Times New Roman;Times;Serif"/>
                  <w:sz w:val="20"/>
                </w:rPr>
                <w:t>Plan of Distribution</w:t>
              </w:r>
            </w:hyperlink>
          </w:p>
        </w:tc>
        <w:tc>
          <w:tcPr>
            <w:tcW w:w="245" w:type="dxa"/>
            <w:tcBorders/>
            <w:shd w:fill="auto" w:val="clear"/>
            <w:vAlign w:val="center"/>
          </w:tcPr>
          <w:p>
            <w:pPr>
              <w:pStyle w:val="TableContents"/>
              <w:spacing w:before="0" w:after="283"/>
              <w:jc w:val="right"/>
              <w:rPr/>
            </w:pPr>
            <w:hyperlink w:anchor="a_012">
              <w:r>
                <w:rPr>
                  <w:rStyle w:val="InternetLink"/>
                  <w:rFonts w:ascii="Times New Roman;Times;Serif" w:hAnsi="Times New Roman;Times;Serif"/>
                  <w:sz w:val="20"/>
                </w:rPr>
                <w:t>17</w:t>
              </w:r>
            </w:hyperlink>
          </w:p>
        </w:tc>
      </w:tr>
      <w:tr>
        <w:trPr/>
        <w:tc>
          <w:tcPr>
            <w:tcW w:w="4685" w:type="dxa"/>
            <w:tcBorders/>
            <w:shd w:fill="auto" w:val="clear"/>
            <w:vAlign w:val="center"/>
          </w:tcPr>
          <w:p>
            <w:pPr>
              <w:pStyle w:val="TableContents"/>
              <w:spacing w:before="0" w:after="283"/>
              <w:jc w:val="left"/>
              <w:rPr/>
            </w:pPr>
            <w:hyperlink w:anchor="a_013">
              <w:r>
                <w:rPr>
                  <w:rStyle w:val="InternetLink"/>
                  <w:rFonts w:ascii="Times New Roman;Times;Serif" w:hAnsi="Times New Roman;Times;Serif"/>
                  <w:sz w:val="20"/>
                </w:rPr>
                <w:t>Legal Matters</w:t>
              </w:r>
            </w:hyperlink>
          </w:p>
        </w:tc>
        <w:tc>
          <w:tcPr>
            <w:tcW w:w="245" w:type="dxa"/>
            <w:tcBorders/>
            <w:shd w:fill="auto" w:val="clear"/>
            <w:vAlign w:val="center"/>
          </w:tcPr>
          <w:p>
            <w:pPr>
              <w:pStyle w:val="TableContents"/>
              <w:spacing w:before="0" w:after="283"/>
              <w:jc w:val="right"/>
              <w:rPr/>
            </w:pPr>
            <w:hyperlink w:anchor="a_013">
              <w:r>
                <w:rPr>
                  <w:rStyle w:val="InternetLink"/>
                  <w:rFonts w:ascii="Times New Roman;Times;Serif" w:hAnsi="Times New Roman;Times;Serif"/>
                  <w:sz w:val="20"/>
                </w:rPr>
                <w:t>19</w:t>
              </w:r>
            </w:hyperlink>
          </w:p>
        </w:tc>
      </w:tr>
      <w:tr>
        <w:trPr/>
        <w:tc>
          <w:tcPr>
            <w:tcW w:w="4685" w:type="dxa"/>
            <w:tcBorders/>
            <w:shd w:fill="auto" w:val="clear"/>
            <w:vAlign w:val="center"/>
          </w:tcPr>
          <w:p>
            <w:pPr>
              <w:pStyle w:val="TableContents"/>
              <w:spacing w:before="0" w:after="283"/>
              <w:jc w:val="left"/>
              <w:rPr/>
            </w:pPr>
            <w:hyperlink w:anchor="a_014">
              <w:r>
                <w:rPr>
                  <w:rStyle w:val="InternetLink"/>
                  <w:rFonts w:ascii="Times New Roman;Times;Serif" w:hAnsi="Times New Roman;Times;Serif"/>
                  <w:sz w:val="20"/>
                </w:rPr>
                <w:t>Experts</w:t>
              </w:r>
            </w:hyperlink>
          </w:p>
        </w:tc>
        <w:tc>
          <w:tcPr>
            <w:tcW w:w="245" w:type="dxa"/>
            <w:tcBorders/>
            <w:shd w:fill="auto" w:val="clear"/>
            <w:vAlign w:val="center"/>
          </w:tcPr>
          <w:p>
            <w:pPr>
              <w:pStyle w:val="TableContents"/>
              <w:spacing w:before="0" w:after="283"/>
              <w:jc w:val="right"/>
              <w:rPr/>
            </w:pPr>
            <w:hyperlink w:anchor="a_014">
              <w:r>
                <w:rPr>
                  <w:rStyle w:val="InternetLink"/>
                  <w:rFonts w:ascii="Times New Roman;Times;Serif" w:hAnsi="Times New Roman;Times;Serif"/>
                  <w:sz w:val="20"/>
                </w:rPr>
                <w:t>19</w:t>
              </w:r>
            </w:hyperlink>
          </w:p>
        </w:tc>
      </w:tr>
    </w:tbl>
    <w:p>
      <w:pPr>
        <w:pStyle w:val="TextBody"/>
        <w:rPr/>
      </w:pPr>
      <w:r>
        <w:rPr/>
        <w:t> </w:t>
      </w:r>
    </w:p>
    <w:p>
      <w:pPr>
        <w:pStyle w:val="TextBody"/>
        <w:spacing w:before="0" w:after="180"/>
        <w:jc w:val="both"/>
        <w:rPr/>
      </w:pPr>
      <w:r>
        <w:rPr/>
        <w:t> </w:t>
      </w:r>
    </w:p>
    <w:p>
      <w:pPr>
        <w:pStyle w:val="TextBody"/>
        <w:spacing w:before="0" w:after="0"/>
        <w:jc w:val="center"/>
        <w:rPr>
          <w:caps w:val="false"/>
          <w:smallCaps w:val="false"/>
          <w:bdr w:val="single" w:sz="16" w:space="1" w:color="000000"/>
        </w:rPr>
      </w:pPr>
      <w:r>
        <w:rPr>
          <w:caps w:val="false"/>
          <w:smallCaps w:val="false"/>
          <w:bdr w:val="single" w:sz="16" w:space="1" w:color="000000"/>
        </w:rPr>
        <w:t> </w:t>
      </w:r>
    </w:p>
    <w:p>
      <w:pPr>
        <w:pStyle w:val="TextBody"/>
        <w:spacing w:before="0" w:after="0"/>
        <w:ind w:left="0" w:right="0" w:hanging="0"/>
        <w:rPr/>
      </w:pPr>
      <w:r>
        <w:rPr/>
        <w:t> </w:t>
      </w:r>
    </w:p>
    <w:p>
      <w:pPr>
        <w:pStyle w:val="TextBody"/>
        <w:spacing w:before="0" w:after="180"/>
        <w:rPr/>
      </w:pPr>
      <w:r>
        <w:rPr/>
        <w:t> </w:t>
      </w:r>
    </w:p>
    <w:p>
      <w:pPr>
        <w:pStyle w:val="TextBody"/>
        <w:spacing w:before="0" w:after="180"/>
        <w:jc w:val="center"/>
        <w:rPr>
          <w:rFonts w:ascii="Times New Roman;Times;Serif" w:hAnsi="Times New Roman;Times;Serif"/>
          <w:b/>
          <w:caps/>
          <w:sz w:val="20"/>
        </w:rPr>
      </w:pPr>
      <w:bookmarkStart w:id="2" w:name="a_001"/>
      <w:bookmarkEnd w:id="2"/>
      <w:r>
        <w:rPr>
          <w:rFonts w:ascii="Times New Roman;Times;Serif" w:hAnsi="Times New Roman;Times;Serif"/>
          <w:b/>
          <w:caps/>
          <w:sz w:val="20"/>
        </w:rPr>
        <w:t>About This Prospectus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This prospectus is part of a registration statement that we filed with the Securities and Exchange Commission (the “SEC”) using the “shelf” registration process. Under this shelf registration process, the selling stockholders may, from time to time, sell or otherwise distribute the securities offered by them as described in the section entitled “</w:t>
      </w:r>
      <w:r>
        <w:rPr>
          <w:rFonts w:ascii="Times New Roman;Times;Serif" w:hAnsi="Times New Roman;Times;Serif"/>
          <w:i/>
          <w:sz w:val="20"/>
        </w:rPr>
        <w:t>Plan of Distribution</w:t>
      </w:r>
      <w:r>
        <w:rPr>
          <w:rFonts w:ascii="Times New Roman;Times;Serif" w:hAnsi="Times New Roman;Times;Serif"/>
          <w:sz w:val="20"/>
        </w:rPr>
        <w:t>” in this prospectus. We will not receive any proceeds from the sale by such selling stockholders of the common stock offered by them described in this prospectus. This prospectus also relates to the issuance by us of the shares of our common stock issuable upon the exercise of the warrants granted to the selling stockholders. We will receive proceeds from any exercise of the warrants for cash.</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Neither we nor the selling stockholders have authorized anyone to provide you with any information or to make any representations other than those contained, or incorporated by reference, in this prospectus, any post-effective amendment, or any applicable prospectus supplement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We may also provide a prospectus supplement or post-effective amendment to the registration statement to add, update or change information contained in or incorporated by reference into,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Times;Serif" w:hAnsi="Times New Roman;Times;Serif"/>
          <w:i/>
          <w:sz w:val="20"/>
        </w:rPr>
        <w:t>Where Can You Find More Information</w:t>
      </w:r>
      <w:r>
        <w:rPr>
          <w:rFonts w:ascii="Times New Roman;Times;Serif" w:hAnsi="Times New Roman;Times;Serif"/>
          <w:sz w:val="20"/>
        </w:rPr>
        <w:t>” and “</w:t>
      </w:r>
      <w:r>
        <w:rPr>
          <w:rFonts w:ascii="Times New Roman;Times;Serif" w:hAnsi="Times New Roman;Times;Serif"/>
          <w:i/>
          <w:sz w:val="20"/>
        </w:rPr>
        <w:t>Incorporation By Reference</w:t>
      </w:r>
      <w:r>
        <w:rPr>
          <w:rFonts w:ascii="Times New Roman;Times;Serif" w:hAnsi="Times New Roman;Times;Serif"/>
          <w:sz w:val="20"/>
        </w:rPr>
        <w:t>”</w:t>
      </w:r>
      <w:r>
        <w:rPr>
          <w:rFonts w:ascii="Times New Roman;Times;Serif" w:hAnsi="Times New Roman;Times;Serif"/>
          <w:i/>
          <w:sz w:val="20"/>
        </w:rPr>
        <w:t>.</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of this prospectus entitled “</w:t>
      </w:r>
      <w:r>
        <w:rPr>
          <w:rFonts w:ascii="Times New Roman;Times;Serif" w:hAnsi="Times New Roman;Times;Serif"/>
          <w:i/>
          <w:sz w:val="20"/>
        </w:rPr>
        <w:t>Incorporation By Reference</w:t>
      </w:r>
      <w:r>
        <w:rPr>
          <w:rFonts w:ascii="Times New Roman;Times;Serif" w:hAnsi="Times New Roman;Times;Serif"/>
          <w:sz w:val="20"/>
        </w:rPr>
        <w:t>”</w:t>
      </w:r>
      <w:r>
        <w:rPr>
          <w:rFonts w:ascii="Times New Roman;Times;Serif" w:hAnsi="Times New Roman;Times;Serif"/>
          <w:i/>
          <w:sz w:val="20"/>
        </w:rPr>
        <w:t>.</w:t>
      </w:r>
    </w:p>
    <w:p>
      <w:pPr>
        <w:pStyle w:val="TextBody"/>
        <w:spacing w:before="0" w:after="180"/>
        <w:ind w:left="0" w:right="0" w:firstLine="360"/>
        <w:rPr/>
      </w:pPr>
      <w:r>
        <w:rPr/>
        <w:t> </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3" w:name="a_002"/>
      <w:bookmarkEnd w:id="3"/>
      <w:r>
        <w:rPr>
          <w:rFonts w:ascii="Times New Roman;Times;Serif" w:hAnsi="Times New Roman;Times;Serif"/>
          <w:b/>
          <w:caps/>
          <w:sz w:val="20"/>
        </w:rPr>
        <w:t>Selected Definitions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Throughout this prospectus, unless otherwise designated or the context suggests otherwise,</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references to the “Company,” the “registrant,” “Expion360” “we,” “our,” or “us” in this prospectus mean Expion360 Inc.;</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references to the “warrants” refer to the 559,431 warrants granted to the selling stockholders, which have an exercise price of $3.32 per share and which expire in November 2031; and</w:t>
            </w:r>
          </w:p>
        </w:tc>
      </w:tr>
    </w:tbl>
    <w:tbl>
      <w:tblPr>
        <w:tblW w:w="6888" w:type="dxa"/>
        <w:jc w:val="left"/>
        <w:tblInd w:w="0" w:type="dxa"/>
        <w:tblCellMar>
          <w:top w:w="0" w:type="dxa"/>
          <w:left w:w="0" w:type="dxa"/>
          <w:bottom w:w="0" w:type="dxa"/>
          <w:right w:w="0" w:type="dxa"/>
        </w:tblCellMar>
      </w:tblPr>
      <w:tblGrid>
        <w:gridCol w:w="38"/>
        <w:gridCol w:w="110"/>
        <w:gridCol w:w="674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dollar or $ references when used in this prospectus refer to United States dollars.</w:t>
            </w:r>
          </w:p>
        </w:tc>
      </w:tr>
    </w:tbl>
    <w:p>
      <w:pPr>
        <w:pStyle w:val="TextBody"/>
        <w:spacing w:before="0" w:after="0"/>
        <w:ind w:left="0" w:right="0" w:firstLine="36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4" w:name="a_003"/>
      <w:bookmarkEnd w:id="4"/>
      <w:r>
        <w:rPr>
          <w:rFonts w:ascii="Times New Roman;Times;Serif" w:hAnsi="Times New Roman;Times;Serif"/>
          <w:b/>
          <w:caps/>
          <w:sz w:val="20"/>
        </w:rPr>
        <w:t>Cautionary Note Regarding Forward-Looking Statements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This prospectus and the documents incorporated by reference herein includes “forward-looking statements” within the meaning of Section 27A of the Securities Act of 1933, as amended, and Section 21E of the Securities Exchange Act of 1934, as amended (the “Exchange Act”). All statements in this prospectus and the documents incorporated by reference herein,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prospectus and the documents incorporated by reference herein are made as of the date hereof or thereof, as applicable, and are based on information available to us as of such dates. We assume no obligation to update any forward-looking statement. In some cases, forward-looking statements can be identified by the use of terminology such as “may,” “will,” “expects,” “plans,” “should,” “anticipates,” “intends,” “seeks,” “believes,” “estimates,” “potential,” “forecasts,”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Actual results will likely differ, and could differ materially, from those projected or assumed in the forward-looking statements. Prospective investors are cautioned not to unduly rely on any such forward-looking statements.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tbl>
      <w:tblPr>
        <w:tblW w:w="7068" w:type="dxa"/>
        <w:jc w:val="left"/>
        <w:tblInd w:w="0" w:type="dxa"/>
        <w:tblCellMar>
          <w:top w:w="0" w:type="dxa"/>
          <w:left w:w="0" w:type="dxa"/>
          <w:bottom w:w="0" w:type="dxa"/>
          <w:right w:w="0" w:type="dxa"/>
        </w:tblCellMar>
      </w:tblPr>
      <w:tblGrid>
        <w:gridCol w:w="38"/>
        <w:gridCol w:w="110"/>
        <w:gridCol w:w="692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6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operate in an extremely competitive industry and are subject to pricing pressures.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have a history of losses and our audited financial statements include a statement that there is a substantial doubt about our ability to continue as a going concern. As our costs increase, we may not be able to generate sufficient revenue to achieve and sustain profitability.</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business and future growth depends on the needs and success of our customers, and we have substantial customer concentration.</w:t>
            </w:r>
          </w:p>
        </w:tc>
      </w:tr>
    </w:tbl>
    <w:tbl>
      <w:tblPr>
        <w:tblW w:w="4683" w:type="dxa"/>
        <w:jc w:val="left"/>
        <w:tblInd w:w="0" w:type="dxa"/>
        <w:tblCellMar>
          <w:top w:w="0" w:type="dxa"/>
          <w:left w:w="0" w:type="dxa"/>
          <w:bottom w:w="0" w:type="dxa"/>
          <w:right w:w="0" w:type="dxa"/>
        </w:tblCellMar>
      </w:tblPr>
      <w:tblGrid>
        <w:gridCol w:w="38"/>
        <w:gridCol w:w="110"/>
        <w:gridCol w:w="453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4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may not be able to successfully manage our growth.</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may be negatively impacted by public health epidemics or outbreaks, including the novel coronavirus (“COVID-19”) as well as uncertainty in global economic conditions.</w:t>
            </w:r>
          </w:p>
        </w:tc>
      </w:tr>
    </w:tbl>
    <w:tbl>
      <w:tblPr>
        <w:tblW w:w="10158" w:type="dxa"/>
        <w:jc w:val="left"/>
        <w:tblInd w:w="0" w:type="dxa"/>
        <w:tblCellMar>
          <w:top w:w="0" w:type="dxa"/>
          <w:left w:w="0" w:type="dxa"/>
          <w:bottom w:w="0" w:type="dxa"/>
          <w:right w:w="0" w:type="dxa"/>
        </w:tblCellMar>
      </w:tblPr>
      <w:tblGrid>
        <w:gridCol w:w="38"/>
        <w:gridCol w:w="110"/>
        <w:gridCol w:w="1001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may fail to expand our sales and distribution channels and our ability to expend into international markets is uncertain.</w:t>
            </w:r>
          </w:p>
        </w:tc>
      </w:tr>
    </w:tbl>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Nearly all of our raw materials enter the United States through a limited number of ports, and we rely on third parties to store and ship some of our inventory; labor unrest at these ports or other product delivery difficulties could interfere with our distribution plans and reduce our revenue.</w:t>
            </w:r>
          </w:p>
        </w:tc>
      </w:tr>
    </w:tbl>
    <w:tbl>
      <w:tblPr>
        <w:tblW w:w="8073" w:type="dxa"/>
        <w:jc w:val="left"/>
        <w:tblInd w:w="0" w:type="dxa"/>
        <w:tblCellMar>
          <w:top w:w="0" w:type="dxa"/>
          <w:left w:w="0" w:type="dxa"/>
          <w:bottom w:w="0" w:type="dxa"/>
          <w:right w:w="0" w:type="dxa"/>
        </w:tblCellMar>
      </w:tblPr>
      <w:tblGrid>
        <w:gridCol w:w="38"/>
        <w:gridCol w:w="110"/>
        <w:gridCol w:w="79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7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Government reviews, inquiries, investigations, and actions could harm our business or reputation.</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are dependent on third-party manufacturers and suppliers, including suppliers located outside the United States, and our operating results could be adversely affected by changes in the cost and availability of raw materials as well as increases in costs, disruption of supply, or shortage of any of our battery components, such as electronic and mechanical parts, or raw materials used in the production of such parts.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rely on two warehouse facilities and if any of our facilities becomes inoperable for any reason or if our expansion plans fail, our ability to produce our products could be negatively impacted.</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Lithium-ion battery cells have been observed to catch fire or release smoke and flame, which may have a negative impact on our reputation and business.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could face potential product liability claims relating to our products, which could result in significant costs and liabilities, which would reduce our profitability.</w:t>
            </w:r>
          </w:p>
        </w:tc>
      </w:tr>
    </w:tbl>
    <w:tbl>
      <w:tblPr>
        <w:tblW w:w="7623" w:type="dxa"/>
        <w:jc w:val="left"/>
        <w:tblInd w:w="0" w:type="dxa"/>
        <w:tblCellMar>
          <w:top w:w="0" w:type="dxa"/>
          <w:left w:w="0" w:type="dxa"/>
          <w:bottom w:w="0" w:type="dxa"/>
          <w:right w:w="0" w:type="dxa"/>
        </w:tblCellMar>
      </w:tblPr>
      <w:tblGrid>
        <w:gridCol w:w="38"/>
        <w:gridCol w:w="110"/>
        <w:gridCol w:w="74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74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operations expose us to litigation, tax, environmental, and other legal compliance risks.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failure to introduce new products and product enhancements and broad market acceptance of new technologies introduced by our competitors could adversely affect our business.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may not be able to adequately protect our proprietary intellectual property and technology and we may need to defend ourselves against intellectual property infringement claims.</w:t>
            </w:r>
          </w:p>
        </w:tc>
      </w:tr>
    </w:tbl>
    <w:tbl>
      <w:tblPr>
        <w:tblW w:w="8163" w:type="dxa"/>
        <w:jc w:val="left"/>
        <w:tblInd w:w="0" w:type="dxa"/>
        <w:tblCellMar>
          <w:top w:w="0" w:type="dxa"/>
          <w:left w:w="0" w:type="dxa"/>
          <w:bottom w:w="0" w:type="dxa"/>
          <w:right w:w="0" w:type="dxa"/>
        </w:tblCellMar>
      </w:tblPr>
      <w:tblGrid>
        <w:gridCol w:w="38"/>
        <w:gridCol w:w="110"/>
        <w:gridCol w:w="801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Quality problems with our products could harm our reputation and erode our competitive position.</w:t>
            </w:r>
          </w:p>
        </w:tc>
      </w:tr>
    </w:tbl>
    <w:tbl>
      <w:tblPr>
        <w:tblW w:w="9993" w:type="dxa"/>
        <w:jc w:val="left"/>
        <w:tblInd w:w="0" w:type="dxa"/>
        <w:tblCellMar>
          <w:top w:w="0" w:type="dxa"/>
          <w:left w:w="0" w:type="dxa"/>
          <w:bottom w:w="0" w:type="dxa"/>
          <w:right w:w="0" w:type="dxa"/>
        </w:tblCellMar>
      </w:tblPr>
      <w:tblGrid>
        <w:gridCol w:w="38"/>
        <w:gridCol w:w="110"/>
        <w:gridCol w:w="98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ability to raise capital in the future may be limited and our stockholders may be diluted by future securities offerings.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depend on our senior management team and other key employees, and significant attrition within our management team or unsuccessful succession planning could adversely affect our business.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are an “emerging growth company” and elect to comply with certain reduced reporting requirements applicable to emerging growth companies, which could make our securities less attractive to investors.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Such other factors as discussed under “</w:t>
            </w:r>
            <w:r>
              <w:rPr>
                <w:rFonts w:ascii="Times New Roman;Times;Serif" w:hAnsi="Times New Roman;Times;Serif"/>
                <w:i/>
                <w:sz w:val="20"/>
              </w:rPr>
              <w:t>Risk Factors</w:t>
            </w:r>
            <w:r>
              <w:rPr>
                <w:rFonts w:ascii="Times New Roman;Times;Serif" w:hAnsi="Times New Roman;Times;Serif"/>
                <w:sz w:val="20"/>
              </w:rPr>
              <w:t>” herein and in the documents incorporated by reference herein, including our latest Annual Report on Form 10-K.</w:t>
            </w:r>
          </w:p>
        </w:tc>
      </w:tr>
    </w:tbl>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All forward-looking statements attributable to us or persons acting on our behalf are expressly qualified in their entirety by these cautionary statements. Our actual results will likely differ, and may differ materially, from anticipated results. Financial estimates are subject to change and are not intended to be relied upon as predictions of future operating results, and we assume no obligation to update or disclose revisions to those estimates. If we do update or correct one or more forward-looking statements, investors and others should not conclude that we will make additional updates or corrections.</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5" w:name="a_004"/>
      <w:bookmarkEnd w:id="5"/>
      <w:r>
        <w:rPr>
          <w:rFonts w:ascii="Times New Roman;Times;Serif" w:hAnsi="Times New Roman;Times;Serif"/>
          <w:b/>
          <w:caps/>
          <w:sz w:val="20"/>
        </w:rPr>
        <w:t>Where You Can Find More Information</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We have filed with the SEC a post-effective amendment on Form S-3, including exhibits, to our registration statement on Form S-1 under the Securities Act with respect to the securities offered hereby. This prospectus, which constitutes part of the registration statement, does not contain all of the information in the registration statement and its exhibits. For further information with respect to Expion360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at the SEC’s website at www.sec.gov.</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We are subject to the information reporting requirements of the Exchange Act, and we are required to file reports, proxy statements and other information with the SEC. These reports, proxy statements and other information will be available for review at the SEC’s website referred to above. We also maintain a website at www.expion360.com,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5</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6" w:name="a_005"/>
      <w:bookmarkEnd w:id="6"/>
      <w:r>
        <w:rPr>
          <w:rFonts w:ascii="Times New Roman;Times;Serif" w:hAnsi="Times New Roman;Times;Serif"/>
          <w:b/>
          <w:caps/>
          <w:sz w:val="20"/>
        </w:rPr>
        <w:t>Incorporation By Reference</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This prospectus and any accompanying prospectus supplement incorporate by reference the documents set forth below that have previously been filed with the SEC:</w:t>
      </w:r>
    </w:p>
    <w:tbl>
      <w:tblPr>
        <w:tblW w:w="9288" w:type="dxa"/>
        <w:jc w:val="left"/>
        <w:tblInd w:w="0" w:type="dxa"/>
        <w:tblCellMar>
          <w:top w:w="0" w:type="dxa"/>
          <w:left w:w="0" w:type="dxa"/>
          <w:bottom w:w="0" w:type="dxa"/>
          <w:right w:w="0" w:type="dxa"/>
        </w:tblCellMar>
      </w:tblPr>
      <w:tblGrid>
        <w:gridCol w:w="38"/>
        <w:gridCol w:w="110"/>
        <w:gridCol w:w="914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Our Annual Report on Form 10-K for the year ended December 31, 2022, filed with the SEC on March 30, 2023; </w:t>
            </w:r>
          </w:p>
        </w:tc>
      </w:tr>
    </w:tbl>
    <w:tbl>
      <w:tblPr>
        <w:tblW w:w="4968" w:type="dxa"/>
        <w:jc w:val="left"/>
        <w:tblInd w:w="0" w:type="dxa"/>
        <w:tblCellMar>
          <w:top w:w="0" w:type="dxa"/>
          <w:left w:w="0" w:type="dxa"/>
          <w:bottom w:w="0" w:type="dxa"/>
          <w:right w:w="0" w:type="dxa"/>
        </w:tblCellMar>
      </w:tblPr>
      <w:tblGrid>
        <w:gridCol w:w="38"/>
        <w:gridCol w:w="110"/>
        <w:gridCol w:w="482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48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Current Report on Form 8-K filed on February 1, 2023; and</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description of the common stock contained in our registration statement on Form 8-A (File No. 001-41347), filed with the SEC on March 31, 2022, pursuant to Section 12 of the Exchange Act, as updated by Exhibit 4.5 to our Annual Report on Form 10-K for the year ended December 31, 2022 filed with the SEC on March 30, 2023.</w:t>
            </w:r>
          </w:p>
        </w:tc>
      </w:tr>
    </w:tbl>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Under no circumstances shall any information furnished under Item 2.02 or 7.01 of Form 8-K be deemed incorporated herein by reference unless such Form 8-K expressly provides to the contrary.</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6</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7" w:name="a_006"/>
      <w:bookmarkEnd w:id="7"/>
      <w:r>
        <w:rPr>
          <w:rFonts w:ascii="Times New Roman;Times;Serif" w:hAnsi="Times New Roman;Times;Serif"/>
          <w:b/>
          <w:caps/>
          <w:sz w:val="20"/>
        </w:rPr>
        <w:t>Prospectus Summary</w:t>
      </w:r>
    </w:p>
    <w:p>
      <w:pPr>
        <w:pStyle w:val="TextBody"/>
        <w:spacing w:before="0" w:after="180"/>
        <w:ind w:left="0" w:right="0" w:firstLine="360"/>
        <w:rPr>
          <w:rFonts w:ascii="Times New Roman;Times;Serif" w:hAnsi="Times New Roman;Times;Serif"/>
          <w:i/>
          <w:sz w:val="20"/>
        </w:rPr>
      </w:pPr>
      <w:r>
        <w:rPr>
          <w:rFonts w:ascii="Times New Roman;Times;Serif" w:hAnsi="Times New Roman;Times;Serif"/>
          <w:i/>
          <w:sz w:val="20"/>
        </w:rPr>
        <w:t xml:space="preserve">The following summary highlights information contained in greater details elsewhere in this prospectus or incorporated by reference into this prospectus. This summary is not complete and does not contain all of the information you should consider in making your investment decision. You should read the entire prospectus and the documents we have incorporated by reference in this prospectus carefully before making an investment in our securities. You should carefully consider, among other things, our financial statements and related notes and the information set forth in the section entitled “Risk Factors” and other information incorporated by reference into this prospectus from our filings with the SEC. See also the sections entitled “Where You Can Find More Information” and “Incorporation By Reference.” </w:t>
      </w:r>
    </w:p>
    <w:p>
      <w:pPr>
        <w:pStyle w:val="TextBody"/>
        <w:spacing w:before="0" w:after="180"/>
        <w:rPr>
          <w:rFonts w:ascii="Times New Roman;Times;Serif" w:hAnsi="Times New Roman;Times;Serif"/>
          <w:b/>
          <w:sz w:val="20"/>
        </w:rPr>
      </w:pPr>
      <w:r>
        <w:rPr>
          <w:rFonts w:ascii="Times New Roman;Times;Serif" w:hAnsi="Times New Roman;Times;Serif"/>
          <w:b/>
          <w:sz w:val="20"/>
        </w:rPr>
        <w:t xml:space="preserve">Overview </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Expion360 Inc. (the “Company,” “Expion360”, “we,” “us” or “our”) focuses on the design, assembly, manufacturing, and sales of lithium iron phosphate (LiFePO4) batteries and supporting accessories for recreational vehicles (“RVs”) and marine applications with plans to expand into home energy storage products and industrial applications. We design, assemble, and distribute high-powered, lithium battery solutions using ground-breaking concepts with a creative sales and marketing approach. We believe that our product offerings include some of the most dense and minimal-footprint batteries in the RV &amp; Marine industry. We are developing the e360 Home Energy Storage: a system that we expect to significantly change the industry in barrier price, flexibility, and integration. We are deploying multiple IP strategies with cutting-edge research and unique products to sustain and scale the business. We currently have customers consisting of dealers, wholesalers, private label customers and original equipment manufacturers who are driving revenue and brand awareness nationally.</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corporate headquarters are based in Redmond, Oregon, with assembly in the United States and suppliers based in Asia. We are currently in the process of building out manufacturing capacity at our corporate headquarters. Our long-term target is to onshore the manufacturing of most of our components and assemblies, including cell manufacturing, to the United States.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main target markets are currently the RV &amp; Marine industry. We believe that we are well positioned to capitalize on the rapid market conversion from lead-acid to lithium batteries as the primary method of power sourcing in these industries. Additional focus markets include home energy storage, where we aim to provide a cost-effective, low barrier of entry, and a do-it-yourself (“DIY”) flexible system for those looking to power their homes via solar energy, wind, or grid back-up. Along with RV/Marine and home energy storage markets, we aim to provide additional capacities to the ever-expanding electric forklift and industrial material handling markets.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Expion360’s e360 product line, which is manufactured for the RV/Marine industry, was launched in December 2020. The e360 product line, through its rapid sales growth, has shown to be a preferred conversion solution for lead-acid batteries. We believe that our e360 Home Energy Storage system has strong revenue potential with recurring income opportunities for us and our associated sales partners.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products provide numerous advantages for various industries that are looking to migrate to lithium-based energy storage. They incorporate detailed-oriented design and engineering and strong case materials and internal and structural layouts, and are backed by responsive customer service.</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7</w:t>
      </w:r>
    </w:p>
    <w:p>
      <w:pPr>
        <w:pStyle w:val="TextBody"/>
        <w:spacing w:before="0" w:after="0"/>
        <w:ind w:left="0" w:right="0" w:hanging="0"/>
        <w:rPr/>
      </w:pPr>
      <w:r>
        <w:rPr/>
        <w:t> </w:t>
      </w:r>
    </w:p>
    <w:p>
      <w:pPr>
        <w:pStyle w:val="TextBody"/>
        <w:spacing w:before="0" w:after="180"/>
        <w:rPr>
          <w:rFonts w:ascii="Times New Roman;Times;Serif" w:hAnsi="Times New Roman;Times;Serif"/>
          <w:b/>
          <w:sz w:val="20"/>
        </w:rPr>
      </w:pPr>
      <w:r>
        <w:rPr>
          <w:rFonts w:ascii="Times New Roman;Times;Serif" w:hAnsi="Times New Roman;Times;Serif"/>
          <w:b/>
          <w:sz w:val="20"/>
        </w:rPr>
        <w:t xml:space="preserve">Corporate Information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Expion360 Inc. was initially organized as a limited liability company under the name Yozamp Products Company, LLC in the State of Oregon on June 16, 2016, and converted to a Nevada corporation under its current name pursuant to articles of conversion dated as of November 16, 2021.</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website is https://expion360.com/ and on the Investor Relations section of our website, we post or will post, as applicable, the following filings as soon as reasonably practicable after they are electronically filed with or furnished to the Securities and Exchange Commission (“SEC”): our Annual Report on Form 10-K (the “Annual Report”), our Proxy Statement on Schedule 14A, our Quarterly Reports on Form 10-Q, our Current Reports on Form 8-K and any amendments to those reports filed or furnished pursuant to Section 13(a) or 15(d) of the Securities Exchange Act of 1934, as amended.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All of the information on our Investor Relations web page is available to be viewed free of charge. Information contained on our website is not part of this prospectus or our other filings with the SEC. We assume no obligation to update or revise any forward-looking statements in this prospectus whether as a result of new information, future events or otherwise, unless we are required to do so by law.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also maintains a website (www.sec.gov) that contains reports, proxy and information statements and other information regarding issuers that file electronically with the SEC.</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8</w:t>
      </w:r>
    </w:p>
    <w:p>
      <w:pPr>
        <w:pStyle w:val="TextBody"/>
        <w:spacing w:before="0" w:after="0"/>
        <w:ind w:left="0" w:right="0" w:hanging="0"/>
        <w:rPr/>
      </w:pPr>
      <w:r>
        <w:rPr/>
        <w:t> </w:t>
      </w:r>
    </w:p>
    <w:p>
      <w:pPr>
        <w:pStyle w:val="TextBody"/>
        <w:rPr/>
      </w:pPr>
      <w:r>
        <w:rPr/>
        <w:t> </w:t>
      </w:r>
    </w:p>
    <w:p>
      <w:pPr>
        <w:pStyle w:val="TextBody"/>
        <w:spacing w:before="0" w:after="180"/>
        <w:jc w:val="center"/>
        <w:rPr>
          <w:rFonts w:ascii="Times New Roman;Times;Serif" w:hAnsi="Times New Roman;Times;Serif"/>
          <w:b/>
          <w:caps/>
          <w:sz w:val="20"/>
        </w:rPr>
      </w:pPr>
      <w:bookmarkStart w:id="8" w:name="a_007"/>
      <w:bookmarkEnd w:id="8"/>
      <w:r>
        <w:rPr>
          <w:rFonts w:ascii="Times New Roman;Times;Serif" w:hAnsi="Times New Roman;Times;Serif"/>
          <w:b/>
          <w:caps/>
          <w:sz w:val="20"/>
        </w:rPr>
        <w:t>The Offering</w:t>
      </w:r>
    </w:p>
    <w:tbl>
      <w:tblPr>
        <w:tblW w:w="10205" w:type="dxa"/>
        <w:jc w:val="left"/>
        <w:tblInd w:w="0" w:type="dxa"/>
        <w:tblCellMar>
          <w:top w:w="0" w:type="dxa"/>
          <w:left w:w="0" w:type="dxa"/>
          <w:bottom w:w="0" w:type="dxa"/>
          <w:right w:w="0" w:type="dxa"/>
        </w:tblCellMar>
      </w:tblPr>
      <w:tblGrid>
        <w:gridCol w:w="2409"/>
        <w:gridCol w:w="7796"/>
      </w:tblGrid>
      <w:tr>
        <w:trPr/>
        <w:tc>
          <w:tcPr>
            <w:tcW w:w="24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Shares of common stock offered by Selling Stockholders</w:t>
            </w:r>
          </w:p>
        </w:tc>
        <w:tc>
          <w:tcPr>
            <w:tcW w:w="77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546,976 shares of common stock issued or issuable upon exercise of stock purchase warrants held by the selling stockholders</w:t>
            </w:r>
          </w:p>
        </w:tc>
      </w:tr>
      <w:tr>
        <w:trPr/>
        <w:tc>
          <w:tcPr>
            <w:tcW w:w="24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Use of Proceeds</w:t>
            </w:r>
          </w:p>
        </w:tc>
        <w:tc>
          <w:tcPr>
            <w:tcW w:w="77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will not receive any proceeds from the sale of the common stock by the selling stockholders</w:t>
            </w:r>
          </w:p>
        </w:tc>
      </w:tr>
      <w:tr>
        <w:trPr/>
        <w:tc>
          <w:tcPr>
            <w:tcW w:w="24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Nasdaq Ticker Symbols</w:t>
            </w:r>
          </w:p>
        </w:tc>
        <w:tc>
          <w:tcPr>
            <w:tcW w:w="77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common stock is listed on the Nasdaq Capital Market under the symbol “XPON”.</w:t>
            </w:r>
          </w:p>
        </w:tc>
      </w:tr>
      <w:tr>
        <w:trPr/>
        <w:tc>
          <w:tcPr>
            <w:tcW w:w="24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Risk factors</w:t>
            </w:r>
          </w:p>
        </w:tc>
        <w:tc>
          <w:tcPr>
            <w:tcW w:w="77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You should carefully read and consider the information set forth under “Risk Factors” on page 10, together with all of the other information set forth in this prospectus, before deciding to invest in the securities offered by this prospectus.</w:t>
            </w:r>
          </w:p>
        </w:tc>
      </w:tr>
    </w:tbl>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9</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9" w:name="a_008"/>
      <w:bookmarkEnd w:id="9"/>
      <w:r>
        <w:rPr>
          <w:rFonts w:ascii="Times New Roman;Times;Serif" w:hAnsi="Times New Roman;Times;Serif"/>
          <w:b/>
          <w:caps/>
          <w:sz w:val="20"/>
        </w:rPr>
        <w:t>Risk Factors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Investment in the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or incorporated by reference into any applicable prospectus supplement before acquiring any of such securities.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in any applicable prospectus supplement.</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10</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10" w:name="a_009"/>
      <w:bookmarkEnd w:id="10"/>
      <w:r>
        <w:rPr>
          <w:rFonts w:ascii="Times New Roman;Times;Serif" w:hAnsi="Times New Roman;Times;Serif"/>
          <w:b/>
          <w:caps/>
          <w:sz w:val="20"/>
        </w:rPr>
        <w:t>Use of Proceeds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We will not receive any of the proceeds from the sale of the common stock by the selling stockholders named in this prospectus. All proceeds from the sale of the common stock will be paid directly to the selling stockholders.</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11</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11" w:name="a_010"/>
      <w:bookmarkEnd w:id="11"/>
      <w:r>
        <w:rPr>
          <w:rFonts w:ascii="Times New Roman;Times;Serif" w:hAnsi="Times New Roman;Times;Serif"/>
          <w:b/>
          <w:caps/>
          <w:sz w:val="20"/>
        </w:rPr>
        <w:t>Description of Capital Stock</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Expion360 has one class of securities registered under Section 12 of the Securities Exchange Act: the Company’s common stock, par value $0.001 per share (the “Common Stock”).</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following description of our capital stock is a summary of the rights of our capital stock and summarizes certain provisions of our certificate of incorporation and our bylaws. This summary does not purport to be complete and is qualified in its entirety by the provisions of our certificate of incorporation and bylaws, copies of which have been filed as exhibits to our most recent Annual Report on Form 10-K, as well as to the applicable provisions of Nevada law.</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General</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authorized capital stock consists of 200,000,000 shares of common stock, par value $0.001 per share and 20,000,000 shares of preferred stock, par value $0.001 per share.</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Common Stock</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We currently do not have any shares of, or securities convertible into, preferred stock outstanding.</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Warrants</w:t>
      </w:r>
    </w:p>
    <w:p>
      <w:pPr>
        <w:pStyle w:val="TextBody"/>
        <w:spacing w:before="0" w:after="180"/>
        <w:jc w:val="both"/>
        <w:rPr>
          <w:rFonts w:ascii="Times New Roman;Times;Serif" w:hAnsi="Times New Roman;Times;Serif"/>
          <w:b/>
          <w:i/>
          <w:sz w:val="20"/>
        </w:rPr>
      </w:pPr>
      <w:r>
        <w:rPr>
          <w:rFonts w:ascii="Times New Roman;Times;Serif" w:hAnsi="Times New Roman;Times;Serif"/>
          <w:b/>
          <w:i/>
          <w:sz w:val="20"/>
        </w:rPr>
        <w:t>$2.90 Warrants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On November 9, 2021, the Company issued warrants to purchase 151,000 of shares of the Company’s common stock with an exercise price of $2.90 per share (the “$2.90 Warrants”). The $2.90 Warrants are exercisable for a period of 3 years from date of grant. If holders of the $2.90 Warrants elect to exercise them on a cashless basis, they would pay the exercise price by surrendering their $2.90 Warrants for that number of shares of common stock equal to the quotient obtained by dividing (x) the difference between the “fair market value” (defined below) multiplied by the number of shares underlying such holder’s $2.90 Warrants and the exercise price multiplied by the number of shares underlying such holder’s $2.90 Warrants by (y) the fair market value. The “fair market value” shall mean the prior five-day average closing price of the common stock on the date on which the holder elects to exercise their $2.90 Warrants. The $2.90 Warrants have certain adjustment rights upon certain events.</w:t>
      </w:r>
    </w:p>
    <w:p>
      <w:pPr>
        <w:pStyle w:val="TextBody"/>
        <w:spacing w:before="0" w:after="180"/>
        <w:jc w:val="both"/>
        <w:rPr>
          <w:rFonts w:ascii="Times New Roman;Times;Serif" w:hAnsi="Times New Roman;Times;Serif"/>
          <w:b/>
          <w:i/>
          <w:sz w:val="20"/>
        </w:rPr>
      </w:pPr>
      <w:r>
        <w:rPr>
          <w:rFonts w:ascii="Times New Roman;Times;Serif" w:hAnsi="Times New Roman;Times;Serif"/>
          <w:b/>
          <w:i/>
          <w:sz w:val="20"/>
        </w:rPr>
        <w:t>$3.32 Warrants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On November 22, 2021, the Company issued warrants to purchase 559,431 shares of the Company’s common stock at an exercise price of $3.32 per share (the “$3.32 Warrants”). The $3.32 Warrants are exercisable for a period of 10 years from date of grant. If holders of the $3.32 Warrants elect to exercise them on a cashless basis, they would pay the exercise price by surrendering their $3.32 Warrants for that number of shares of common stock equal to the quotient obtained by dividing (x) the difference between the “fair market value” (defined below) multiplied by the number of shares underlying such holder’s $3.32 Warrants and the exercise price multiplied by the number of shares underlying such holder’s $3.32 Warrants by (y) the fair market value. The “fair market value” shall mean the volume weighted average of the closing sales price of the common stock averaged over 20 consecutive trading days ending on the trading day prior to the date on which “fair market value” is determined. The $3.32 Warrants have certain adjustment rights upon certain events. The Company is required to cause a registration statement registering the resale of the shares of our common stock issuable upon exercise of the $3.32 Warrants to become effective in connection with its initial public offering. The registration statement of which this prospectus forms a part is intended to satisfy this requirement.</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12</w:t>
      </w:r>
    </w:p>
    <w:p>
      <w:pPr>
        <w:pStyle w:val="TextBody"/>
        <w:spacing w:before="0" w:after="0"/>
        <w:ind w:left="0" w:right="0" w:hanging="0"/>
        <w:rPr/>
      </w:pPr>
      <w:r>
        <w:rPr/>
        <w:t> </w:t>
      </w:r>
    </w:p>
    <w:p>
      <w:pPr>
        <w:pStyle w:val="TextBody"/>
        <w:spacing w:before="0" w:after="180"/>
        <w:jc w:val="both"/>
        <w:rPr>
          <w:rFonts w:ascii="Times New Roman;Times;Serif" w:hAnsi="Times New Roman;Times;Serif"/>
          <w:b/>
          <w:i/>
          <w:sz w:val="20"/>
        </w:rPr>
      </w:pPr>
      <w:r>
        <w:rPr>
          <w:rFonts w:ascii="Times New Roman;Times;Serif" w:hAnsi="Times New Roman;Times;Serif"/>
          <w:b/>
          <w:i/>
          <w:sz w:val="20"/>
        </w:rPr>
        <w:t>Underwriter Warrants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Concurrent with the closing of the initial public offering, the Company issued warrants to purchase an aggregate of 128,700 shares of its common stock to Alexander Capital LP and Paulson Investment Company LLC (as apportioned in accordance with agreements amongst them), or their designees, at an exercise price of $9.10 per share (the “Underwriter Warrants”). The Underwriter Warrants are initially exercisable on September 27, 2022 and expire on March 31, 2027.</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If there is not an effective registration statement registering the resale of the shares of common stock issuable upon exercise of the Underwriter Warrants, holders of the Underwriter Warrants may elect to exercise them on a cashless basis and pay the exercise price by surrendering their Underwriter Warrants for that number of shares of common stock equal to the quotient obtained by dividing (x) the product of the number of shares of common stock underlying the Underwriter Warrants, multiplied by the difference between (i) the daily volume weighted average price of the common stock on the trading day immediately preceding the date of the exercise notice or on the date of the exercise notice (if delivered after regular trading hours) and (ii) the exercise price of the Underwriter Warrants and by (y) the daily volume weighted average price of the common stock on the trading day immediately preceding the date of the exercise notice or on the date of the exercise notice (if delivered after regular trading hours). If the Company does not deliver common stock to a holder upon such holder’s exercise of their Underwriter Warrants in compliance with the timing set out in the Underwriter Warrants, the Company will have to pay cash to such holder in accordance with the terms of the Underwriter Warrants. The Underwriter Warrants include anti-dilution provisions (for stock dividends, splits and recapitalizations and similar transactions), which results in the adjustment of the exercise price and entitles holders of the Underwriter Warrants to participate in subsequent rights offerings or distributions to holders of the Company’s common stock, as applicable. The Underwriter Warrants also have certain adjustment rights upon certain events. Further, the Underwriter Warrants provide for a one-time demand registration right, exercisable until March 31, 2027 and unlimited piggyback rights, exercisable until September 27, 2024.</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Options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Prior to our initial public offering, we issued options to purchase 30,000 shares of common stock granted to one individual which had an exercise price of $3.32.</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Anti-Takeover Effects of Provisions of Our Charter Documents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provisions of Nevada law and our Bylaws may have the effect of delaying, deferring or preventing another party from acquiring control of the company. These provisions may discourage and prevent coercive takeover practices and inadequate takeover bids.</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13</w:t>
      </w:r>
    </w:p>
    <w:p>
      <w:pPr>
        <w:pStyle w:val="TextBody"/>
        <w:spacing w:before="0" w:after="0"/>
        <w:ind w:left="0" w:right="0" w:hanging="0"/>
        <w:rPr/>
      </w:pPr>
      <w:r>
        <w:rPr/>
        <w:t> </w:t>
      </w:r>
    </w:p>
    <w:p>
      <w:pPr>
        <w:pStyle w:val="TextBody"/>
        <w:spacing w:before="0" w:after="180"/>
        <w:jc w:val="both"/>
        <w:rPr>
          <w:rFonts w:ascii="Times New Roman;Times;Serif" w:hAnsi="Times New Roman;Times;Serif"/>
          <w:b/>
          <w:i/>
          <w:sz w:val="20"/>
        </w:rPr>
      </w:pPr>
      <w:r>
        <w:rPr>
          <w:rFonts w:ascii="Times New Roman;Times;Serif" w:hAnsi="Times New Roman;Times;Serif"/>
          <w:b/>
          <w:i/>
          <w:sz w:val="20"/>
        </w:rPr>
        <w:t>Nevada Law</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Articles of Incorporation include a mandatory forum provision that, to the fullest extent permitted by law, the Nevada Eighth Judicial District of Clark County Nevada shall be the sole and exclusive forum for (a) any derivative action or proceeding brought in the name or right of the Company or on its behalf, (b) any action asserting a claim for breach of any fiduciary duty owed by any director, officer, employee or agent of the Company to the Company or the Company's stockholders, (c) any action arising or asserting a claim arising pursuant to any provision of NRS Chapters 78 or 92Aor any provision of the Articles of Incorporation or Bylaws, (d) any action to interpret, apply, enforce or determine the validity of the Articles of Incorporation or Bylaws or (e)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rules and regulations thereunder and would preempt the choice of forum provisions in our Articles of Incorporation with respect to such matters.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At this time, we do not believe we have 100 stockholders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stockholders.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14</w:t>
      </w:r>
    </w:p>
    <w:p>
      <w:pPr>
        <w:pStyle w:val="TextBody"/>
        <w:spacing w:before="0" w:after="0"/>
        <w:ind w:left="0" w:right="0" w:hanging="0"/>
        <w:rPr/>
      </w:pPr>
      <w:r>
        <w:rPr/>
        <w:t> </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pStyle w:val="TextBody"/>
        <w:spacing w:before="0" w:after="180"/>
        <w:jc w:val="both"/>
        <w:rPr>
          <w:rFonts w:ascii="Times New Roman;Times;Serif" w:hAnsi="Times New Roman;Times;Serif"/>
          <w:b/>
          <w:i/>
          <w:sz w:val="20"/>
        </w:rPr>
      </w:pPr>
      <w:r>
        <w:rPr>
          <w:rFonts w:ascii="Times New Roman;Times;Serif" w:hAnsi="Times New Roman;Times;Serif"/>
          <w:b/>
          <w:i/>
          <w:sz w:val="20"/>
        </w:rPr>
        <w:t>Articles of Incorporation and Bylaws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Transfer Agent and Registrar</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transfer agent and registrar for our common shares is Pacific Stock Transfer Company. Pacific Stock Transfer Company’s address and phone number is: 6725 Via Austi Pkwy, Suite 300, Las Vegas, Nevada 89119; telephone number (800) 785-7782.</w:t>
      </w:r>
    </w:p>
    <w:p>
      <w:pPr>
        <w:pStyle w:val="TextBody"/>
        <w:spacing w:before="0" w:after="180"/>
        <w:jc w:val="both"/>
        <w:rPr>
          <w:rFonts w:ascii="Times New Roman;Times;Serif" w:hAnsi="Times New Roman;Times;Serif"/>
          <w:b/>
          <w:sz w:val="20"/>
        </w:rPr>
      </w:pPr>
      <w:r>
        <w:rPr>
          <w:rFonts w:ascii="Times New Roman;Times;Serif" w:hAnsi="Times New Roman;Times;Serif"/>
          <w:b/>
          <w:sz w:val="20"/>
        </w:rPr>
        <w:t>Listing</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Our common stock has been traded on The Nasdaq Capital Market under the symbol “XPON” since April 1, 2022.</w:t>
      </w:r>
    </w:p>
    <w:p>
      <w:pPr>
        <w:pStyle w:val="TextBody"/>
        <w:spacing w:before="0" w:after="180"/>
        <w:rPr/>
      </w:pPr>
      <w:r>
        <w:rPr/>
        <w:t> </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15</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12" w:name="a_011"/>
      <w:bookmarkEnd w:id="12"/>
      <w:r>
        <w:rPr>
          <w:rFonts w:ascii="Times New Roman;Times;Serif" w:hAnsi="Times New Roman;Times;Serif"/>
          <w:b/>
          <w:caps/>
          <w:sz w:val="20"/>
        </w:rPr>
        <w:t>Selling Stockholders</w:t>
      </w:r>
    </w:p>
    <w:p>
      <w:pPr>
        <w:pStyle w:val="TextBody"/>
        <w:rPr/>
      </w:pPr>
      <w:r>
        <w:rPr/>
        <w:t> </w:t>
      </w:r>
    </w:p>
    <w:p>
      <w:pPr>
        <w:pStyle w:val="TextBody"/>
        <w:ind w:left="0" w:right="0" w:firstLine="720"/>
        <w:rPr>
          <w:rFonts w:ascii="Times New Roman;Times;Serif" w:hAnsi="Times New Roman;Times;Serif"/>
          <w:sz w:val="20"/>
        </w:rPr>
      </w:pPr>
      <w:r>
        <w:rPr>
          <w:rFonts w:ascii="Times New Roman;Times;Serif" w:hAnsi="Times New Roman;Times;Serif"/>
          <w:sz w:val="20"/>
        </w:rPr>
        <w:t>An aggregate of up to 546,976 shares of common stock may be offered by certain selling stockholders. The following table sets forth certain information with respect to each selling stockholder for whom we are registering shares for resale to the public. No material relationships exist between any of the selling stockholders and us nor have any such material relationships existed within the past three years.</w:t>
      </w:r>
    </w:p>
    <w:p>
      <w:pPr>
        <w:pStyle w:val="TextBody"/>
        <w:rPr/>
      </w:pPr>
      <w:r>
        <w:rPr/>
        <w:t> </w:t>
      </w:r>
    </w:p>
    <w:tbl>
      <w:tblPr>
        <w:tblW w:w="10205" w:type="dxa"/>
        <w:jc w:val="left"/>
        <w:tblInd w:w="0" w:type="dxa"/>
        <w:tblCellMar>
          <w:top w:w="0" w:type="dxa"/>
          <w:left w:w="0" w:type="dxa"/>
          <w:bottom w:w="0" w:type="dxa"/>
          <w:right w:w="0" w:type="dxa"/>
        </w:tblCellMar>
      </w:tblPr>
      <w:tblGrid>
        <w:gridCol w:w="2047"/>
        <w:gridCol w:w="60"/>
        <w:gridCol w:w="175"/>
        <w:gridCol w:w="2052"/>
        <w:gridCol w:w="60"/>
        <w:gridCol w:w="60"/>
        <w:gridCol w:w="123"/>
        <w:gridCol w:w="1440"/>
        <w:gridCol w:w="60"/>
        <w:gridCol w:w="1995"/>
        <w:gridCol w:w="1989"/>
        <w:gridCol w:w="144"/>
      </w:tblGrid>
      <w:tr>
        <w:trPr/>
        <w:tc>
          <w:tcPr>
            <w:tcW w:w="20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84"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Shares Of Common Stock Beneficially Owned After Completion Of The Offering</w:t>
            </w:r>
            <w:r>
              <w:rPr>
                <w:rFonts w:ascii="Times New Roman;Times;Serif" w:hAnsi="Times New Roman;Times;Serif"/>
                <w:b/>
                <w:position w:val="7"/>
                <w:sz w:val="16"/>
                <w:sz w:val="20"/>
              </w:rPr>
              <w:t>(2)</w:t>
            </w:r>
          </w:p>
        </w:tc>
        <w:tc>
          <w:tcPr>
            <w:tcW w:w="144" w:type="dxa"/>
            <w:tcBorders/>
            <w:shd w:fill="auto" w:val="clear"/>
            <w:vAlign w:val="center"/>
          </w:tcPr>
          <w:p>
            <w:pPr>
              <w:pStyle w:val="TableContents"/>
              <w:spacing w:before="0" w:after="283"/>
              <w:rPr/>
            </w:pPr>
            <w:r>
              <w:rPr/>
              <w:t> </w:t>
            </w:r>
          </w:p>
        </w:tc>
      </w:tr>
      <w:tr>
        <w:trPr/>
        <w:tc>
          <w:tcPr>
            <w:tcW w:w="2047"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of Beneficial Owner</w:t>
            </w:r>
          </w:p>
        </w:tc>
        <w:tc>
          <w:tcPr>
            <w:tcW w:w="60" w:type="dxa"/>
            <w:tcBorders/>
            <w:shd w:fill="auto" w:val="clear"/>
            <w:vAlign w:val="center"/>
          </w:tcPr>
          <w:p>
            <w:pPr>
              <w:pStyle w:val="TableContents"/>
              <w:spacing w:before="0" w:after="283"/>
              <w:rPr/>
            </w:pPr>
            <w:r>
              <w:rPr/>
              <w:t> </w:t>
            </w:r>
          </w:p>
        </w:tc>
        <w:tc>
          <w:tcPr>
            <w:tcW w:w="2227"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 Shares of Common Stock Beneficially Owned Before this Offering</w:t>
            </w:r>
            <w:r>
              <w:rPr>
                <w:rFonts w:ascii="Times New Roman;Times;Serif" w:hAnsi="Times New Roman;Times;Serif"/>
                <w:b/>
                <w:position w:val="7"/>
                <w:sz w:val="16"/>
                <w:sz w:val="20"/>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3"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 Shares of Common Stock Offered Hereby</w:t>
            </w:r>
          </w:p>
        </w:tc>
        <w:tc>
          <w:tcPr>
            <w:tcW w:w="60" w:type="dxa"/>
            <w:tcBorders/>
            <w:shd w:fill="auto" w:val="clear"/>
            <w:vAlign w:val="center"/>
          </w:tcPr>
          <w:p>
            <w:pPr>
              <w:pStyle w:val="TableContents"/>
              <w:spacing w:before="0" w:after="283"/>
              <w:rPr/>
            </w:pPr>
            <w:r>
              <w:rPr/>
              <w:t> </w:t>
            </w:r>
          </w:p>
        </w:tc>
        <w:tc>
          <w:tcPr>
            <w:tcW w:w="199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Amount of Common Stock Beneficially Owned Following Offering</w:t>
            </w:r>
          </w:p>
        </w:tc>
        <w:tc>
          <w:tcPr>
            <w:tcW w:w="1989"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Percent of Common Stock Beneficially Owned Following Offering</w:t>
            </w:r>
          </w:p>
        </w:tc>
        <w:tc>
          <w:tcPr>
            <w:tcW w:w="144" w:type="dxa"/>
            <w:tcBorders/>
            <w:shd w:fill="auto" w:val="clear"/>
            <w:vAlign w:val="center"/>
          </w:tcPr>
          <w:p>
            <w:pPr>
              <w:pStyle w:val="TableContents"/>
              <w:spacing w:before="0" w:after="283"/>
              <w:rPr/>
            </w:pPr>
            <w:r>
              <w:rPr/>
              <w:t> </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Donald A. Foss Revocable Living Trust dated January 1981</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301,418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301,418</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pPr>
            <w:r>
              <w:rPr/>
              <w:t>—</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Victor Henry David Trione c/o Neoteric, LLC</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30,142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30,142</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pPr>
            <w:r>
              <w:rPr/>
              <w:t>—</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Seven Hills Healthcare Advisors LLC Defined Benefit Pension Plan</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30,142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30,142</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pPr>
            <w:r>
              <w:rPr/>
              <w:t>—</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Eaglevision Ventures, Inc.</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28,936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28,936</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__</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John Neary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28,936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28,936</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__</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Park Family Trust Est. Aug 29, 2012</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22,606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22,606</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pPr>
            <w:r>
              <w:rPr/>
              <w:t>—</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Cheryll Krane</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19,291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19,291</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rPr/>
            </w:pPr>
            <w:r>
              <w:rPr/>
              <w:t> </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Rowland W. Day II and Jaimie D. Day Family Trust U/D/T April 13, 1990</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pPr>
            <w:r>
              <w:rPr/>
              <w:t>—</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Istvan Elek</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pPr>
            <w:r>
              <w:rPr/>
              <w:t>—</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SMEA2Z LLC</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pPr>
            <w:r>
              <w:rPr/>
              <w:t>—</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Dr. SK Rao</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15,071</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pPr>
            <w:r>
              <w:rPr/>
              <w:t>—</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Garry Mauro</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6,786</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pPr>
            <w:r>
              <w:rPr/>
              <w:t>—</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Ron G. Olthuis</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pPr>
            <w:r>
              <w:rPr/>
              <w:t>—</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Alessandro Parravicini</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205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7,535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7,535</w:t>
            </w:r>
          </w:p>
        </w:tc>
        <w:tc>
          <w:tcPr>
            <w:tcW w:w="60" w:type="dxa"/>
            <w:tcBorders/>
            <w:shd w:fill="FFFFFF" w:val="clear"/>
            <w:vAlign w:val="center"/>
          </w:tcPr>
          <w:p>
            <w:pPr>
              <w:pStyle w:val="TableContents"/>
              <w:spacing w:before="0" w:after="283"/>
              <w:rPr/>
            </w:pPr>
            <w:r>
              <w:rPr/>
              <w:t> </w:t>
            </w:r>
          </w:p>
        </w:tc>
        <w:tc>
          <w:tcPr>
            <w:tcW w:w="1995" w:type="dxa"/>
            <w:tcBorders/>
            <w:shd w:fill="FFFFFF" w:val="clear"/>
            <w:vAlign w:val="center"/>
          </w:tcPr>
          <w:p>
            <w:pPr>
              <w:pStyle w:val="TableContents"/>
              <w:spacing w:before="0" w:after="283"/>
              <w:jc w:val="right"/>
              <w:rPr/>
            </w:pPr>
            <w:r>
              <w:rPr/>
              <w:t>—</w:t>
            </w:r>
          </w:p>
        </w:tc>
        <w:tc>
          <w:tcPr>
            <w:tcW w:w="198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04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Kökény László</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5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3,365</w:t>
            </w:r>
          </w:p>
        </w:tc>
        <w:tc>
          <w:tcPr>
            <w:tcW w:w="60" w:type="dxa"/>
            <w:tcBorders/>
            <w:shd w:fill="CCEEFF" w:val="clear"/>
            <w:vAlign w:val="center"/>
          </w:tcPr>
          <w:p>
            <w:pPr>
              <w:pStyle w:val="TableContents"/>
              <w:spacing w:before="0" w:after="283"/>
              <w:rPr/>
            </w:pPr>
            <w:r>
              <w:rPr/>
              <w:t> </w:t>
            </w:r>
          </w:p>
        </w:tc>
        <w:tc>
          <w:tcPr>
            <w:tcW w:w="1995" w:type="dxa"/>
            <w:tcBorders/>
            <w:shd w:fill="CCEEFF" w:val="clear"/>
            <w:vAlign w:val="center"/>
          </w:tcPr>
          <w:p>
            <w:pPr>
              <w:pStyle w:val="TableContents"/>
              <w:spacing w:before="0" w:after="283"/>
              <w:jc w:val="right"/>
              <w:rPr/>
            </w:pPr>
            <w:r>
              <w:rPr/>
              <w:t>—</w:t>
            </w:r>
          </w:p>
        </w:tc>
        <w:tc>
          <w:tcPr>
            <w:tcW w:w="1989"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120" w:after="120"/>
        <w:ind w:left="120" w:right="120" w:firstLine="720"/>
        <w:rPr>
          <w:rFonts w:ascii="Times New Roman;Times;Serif" w:hAnsi="Times New Roman;Times;Serif"/>
          <w:sz w:val="20"/>
          <w:highlight w:val="white"/>
        </w:rPr>
      </w:pPr>
      <w:r>
        <w:rPr>
          <w:rFonts w:ascii="Times New Roman;Times;Serif" w:hAnsi="Times New Roman;Times;Serif"/>
          <w:sz w:val="20"/>
          <w:highlight w:val="white"/>
        </w:rPr>
        <w:t>* Less than 1%</w:t>
      </w:r>
    </w:p>
    <w:p>
      <w:pPr>
        <w:pStyle w:val="TextBody"/>
        <w:spacing w:before="0" w:after="120"/>
        <w:ind w:left="0" w:right="0" w:firstLine="720"/>
        <w:jc w:val="both"/>
        <w:rPr>
          <w:rFonts w:ascii="Times New Roman;Times;Serif" w:hAnsi="Times New Roman;Times;Serif"/>
          <w:b/>
          <w:sz w:val="20"/>
        </w:rPr>
      </w:pPr>
      <w:r>
        <w:rPr>
          <w:rFonts w:ascii="Times New Roman;Times;Serif" w:hAnsi="Times New Roman;Times;Serif"/>
          <w:b/>
          <w:sz w:val="20"/>
        </w:rPr>
        <w:t>Except as noted in any footnotes below, each person has sole voting power and sole dispositive power as to all of the shares shown as beneficially owned by them. Beneficial ownership is determined in accordance with the rules of the SEC and generally includes voting or investment power with respect to securities.</w:t>
      </w:r>
    </w:p>
    <w:p>
      <w:pPr>
        <w:pStyle w:val="TextBody"/>
        <w:rPr/>
      </w:pPr>
      <w:r>
        <w:rPr>
          <w:rFonts w:ascii="Times New Roman;Times;Serif" w:hAnsi="Times New Roman;Times;Serif"/>
          <w:sz w:val="20"/>
          <w:highlight w:val="white"/>
        </w:rPr>
        <w:t>(1)</w:t>
      </w:r>
      <w:r>
        <w:rPr/>
        <w:t>       </w:t>
      </w:r>
      <w:r>
        <w:rPr>
          <w:rFonts w:ascii="Times New Roman;Times;Serif" w:hAnsi="Times New Roman;Times;Serif"/>
          <w:sz w:val="20"/>
        </w:rPr>
        <w:t>The number of shares of common stock owned prior to the offering in this column assumes that each selling stockholder purchases the shares available for purchase pursuant to their warrants.</w:t>
      </w:r>
    </w:p>
    <w:p>
      <w:pPr>
        <w:pStyle w:val="TextBody"/>
        <w:rPr/>
      </w:pPr>
      <w:r>
        <w:rPr/>
        <w:t> </w:t>
      </w:r>
    </w:p>
    <w:p>
      <w:pPr>
        <w:pStyle w:val="TextBody"/>
        <w:rPr/>
      </w:pPr>
      <w:r>
        <w:rPr>
          <w:rFonts w:ascii="Times New Roman;Times;Serif" w:hAnsi="Times New Roman;Times;Serif"/>
          <w:sz w:val="20"/>
          <w:highlight w:val="white"/>
        </w:rPr>
        <w:t>(2)</w:t>
      </w:r>
      <w:r>
        <w:rPr/>
        <w:t xml:space="preserve">        </w:t>
      </w:r>
      <w:r>
        <w:rPr>
          <w:rFonts w:ascii="Times New Roman;Times;Serif" w:hAnsi="Times New Roman;Times;Serif"/>
          <w:sz w:val="20"/>
        </w:rPr>
        <w:t>Assumes the sale of all shares offered pursuant to this prospectus. Applicable percentages based on 6,910,717 shares of common stock outstanding as of April 19, 2023.</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16</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13" w:name="a_012"/>
      <w:bookmarkEnd w:id="13"/>
      <w:r>
        <w:rPr>
          <w:rFonts w:ascii="Times New Roman;Times;Serif" w:hAnsi="Times New Roman;Times;Serif"/>
          <w:b/>
          <w:caps/>
          <w:sz w:val="20"/>
        </w:rPr>
        <w:t>Plan of Distribution</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selling stockholders may use any one or more of the following methods when disposing of shares or interests therein:</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ordinary brokerage transactions and transactions in which the broker-dealer solicits purchasers;</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purchases by a broker-dealer as principal and resale by the broker-dealer for its account;</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an exchange distribution in accordance with the rules of the applicable exchange;</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privately negotiated transactions;</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short sales;</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through the writing or settlement of options or other hedging transactions, whether through an options exchange or otherwise;</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broker-dealers may agree with the selling stockholders to sell a specified number of such shares at a stipulated price per share;</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a combination of any such methods of sale; and</w:t>
      </w:r>
      <w:r>
        <w:rPr/>
        <w:t xml:space="preserve"> </w:t>
      </w:r>
    </w:p>
    <w:p>
      <w:pPr>
        <w:pStyle w:val="TextBody"/>
        <w:numPr>
          <w:ilvl w:val="0"/>
          <w:numId w:val="2"/>
        </w:numPr>
        <w:tabs>
          <w:tab w:val="clear" w:pos="1134"/>
          <w:tab w:val="left" w:pos="707" w:leader="none"/>
        </w:tabs>
        <w:spacing w:before="0" w:after="180"/>
        <w:ind w:left="707" w:hanging="283"/>
        <w:jc w:val="both"/>
        <w:rPr/>
      </w:pPr>
      <w:r>
        <w:rPr>
          <w:rFonts w:ascii="Times New Roman;Times;Serif" w:hAnsi="Times New Roman;Times;Serif"/>
          <w:sz w:val="20"/>
        </w:rPr>
        <w:t>any other method permitted pursuant to applicable law.</w:t>
      </w:r>
      <w:r>
        <w:rPr/>
        <w:t xml:space="preserve"> </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Subject to those same restrictions, the selling stockholders also may transfer the shares of common stock in other circumstances, in which case the transferees, pledgees or other successors in interest will be the selling beneficial owners for purposes of this prospectus; provided, however,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17</w:t>
      </w:r>
    </w:p>
    <w:p>
      <w:pPr>
        <w:pStyle w:val="TextBody"/>
        <w:spacing w:before="0" w:after="0"/>
        <w:ind w:left="0" w:right="0" w:hanging="0"/>
        <w:rPr/>
      </w:pPr>
      <w:r>
        <w:rPr/>
        <w:t> </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Subject to those same restrictions, the selling stockholders may also (i) sell shares of our common stock short and deliver these securities to close out their short positions, or loan or pledge the common stock to broker-dealers that in turn may sell these securities and (ii)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 underwriter of our initial public offering is entitled to receive any reimbursement for expenses in connection with the sale of shares by a selling stockholder.</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18</w:t>
      </w:r>
    </w:p>
    <w:p>
      <w:pPr>
        <w:pStyle w:val="TextBody"/>
        <w:spacing w:before="0" w:after="0"/>
        <w:ind w:left="0" w:right="0" w:hanging="0"/>
        <w:rPr/>
      </w:pPr>
      <w:r>
        <w:rPr/>
        <w:t> </w:t>
      </w:r>
    </w:p>
    <w:p>
      <w:pPr>
        <w:pStyle w:val="TextBody"/>
        <w:spacing w:before="0" w:after="180"/>
        <w:jc w:val="center"/>
        <w:rPr>
          <w:rFonts w:ascii="Times New Roman;Times;Serif" w:hAnsi="Times New Roman;Times;Serif"/>
          <w:b/>
          <w:caps/>
          <w:sz w:val="20"/>
        </w:rPr>
      </w:pPr>
      <w:bookmarkStart w:id="14" w:name="a_013"/>
      <w:bookmarkEnd w:id="14"/>
      <w:r>
        <w:rPr>
          <w:rFonts w:ascii="Times New Roman;Times;Serif" w:hAnsi="Times New Roman;Times;Serif"/>
          <w:b/>
          <w:caps/>
          <w:sz w:val="20"/>
        </w:rPr>
        <w:t>Legal Matters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The validity of the securities offered hereby as to Nevada law will be passed upon for us by Parr Brown Gee &amp; Loveless, PC. Certain legal matters relating to the issuance and sale of the securities offered hereby will be passed upon as to United States securities law by Freshfields Bruckhaus Deringer US LLP. Any underwriters or agents will be advised about other issues relating to the offering by counsel to be named in the applicable prospectus supplement.</w:t>
      </w:r>
    </w:p>
    <w:p>
      <w:pPr>
        <w:pStyle w:val="TextBody"/>
        <w:spacing w:before="0" w:after="180"/>
        <w:jc w:val="center"/>
        <w:rPr>
          <w:rFonts w:ascii="Times New Roman;Times;Serif" w:hAnsi="Times New Roman;Times;Serif"/>
          <w:b/>
          <w:caps/>
          <w:sz w:val="20"/>
        </w:rPr>
      </w:pPr>
      <w:bookmarkStart w:id="15" w:name="a_014"/>
      <w:bookmarkEnd w:id="15"/>
      <w:r>
        <w:rPr>
          <w:rFonts w:ascii="Times New Roman;Times;Serif" w:hAnsi="Times New Roman;Times;Serif"/>
          <w:b/>
          <w:caps/>
          <w:sz w:val="20"/>
        </w:rPr>
        <w:t>Experts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The Company’s consolidated financial statements as of and for the years ended December 31, 2022 and 2021 appearing elsewhere in this prospectus have been included herein in reliance upon the report of M&amp;K CPAS PLLC, an independent registered public accounting firm, appearing elsewhere herein, and upon the authority of M&amp;K CPAS PLLC as experts in accounting and auditing.</w:t>
      </w:r>
    </w:p>
    <w:p>
      <w:pPr>
        <w:pStyle w:val="TextBody"/>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19</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altName w:val="Times"/>
    <w:charset w:val="00"/>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7763</Words>
  <CharactersWithSpaces>49283</CharactersWithSpaces>
  <Paragraphs>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