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0" w:after="60"/>
        <w:jc w:val="left"/>
        <w:rPr>
          <w:bdr w:val="single" w:sz="16" w:space="1" w:color="000000"/>
        </w:rPr>
      </w:pPr>
      <w:bookmarkStart w:id="0" w:name="xpon_424b5.htm"/>
      <w:bookmarkStart w:id="1" w:name="ksxpon_424b5"/>
      <w:bookmarkEnd w:id="0"/>
      <w:bookmarkEnd w:id="1"/>
      <w:r>
        <w:rPr>
          <w:bdr w:val="single" w:sz="16" w:space="1" w:color="000000"/>
        </w:rPr>
        <w:t> </w:t>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333-272956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July 10, 2023)</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 cy="8001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EXPION360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 Shares of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100,000 shares of our common stock, par value $0.001 per share (“Common Stock”), pursuant to this prospectus supplement, the accompanying base prospectus and that certain Settlement and Mutual Release Agreement, dated May 2, 2024 (the “Settlement Agreement”), by and between us and Alexander Capital L.P. (“Alexander”). The shares are being issued in consideration of the amount payable under the terms of the Settlement Agreement, and accordingly, no cash proceeds will be received by us from the issuance of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“XPON.” On May 6, 2024, the last reported sale price of our Common Stock on Nasdaq was $1.88 per share.</w:t>
      </w:r>
    </w:p>
    <w:p>
      <w:pPr>
        <w:pStyle w:val="TextBody"/>
        <w:bidi w:val="0"/>
        <w:jc w:val="both"/>
        <w:rPr>
          <w:caps w:val="false"/>
          <w:smallCaps w:val="false"/>
        </w:rPr>
      </w:pPr>
      <w:r>
        <w:rPr>
          <w:caps w:val="false"/>
          <w:smallCaps w:val="false"/>
        </w:rPr>
        <w:t> </w:t>
      </w:r>
    </w:p>
    <w:p>
      <w:pPr>
        <w:pStyle w:val="TextBody"/>
        <w:bidi w:val="0"/>
        <w:spacing w:lineRule="auto" w:line="256" w:before="0" w:after="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 2024, the aggregate market value of our outstanding common stock held by non-affiliates, or public float, was approximately $20.6 million. This value was computed by reference to the highest closing price of our common stock on the Nasdaq Capital Market within the preceding 60 days ($3.604 per share on March 7, 2024) multiplied by 5,715,926 shares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sold $1,989,429 in securities pursuant to General Instruction I.B.6 of Form S-3.</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and, under applicable Securities and Exchange Commission (“SEC”) rules, we have elected to take advantage of certain reduced public company reporting requirements for this prospectus and future filings.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0"/>
        </w:rPr>
        <w:t>Investing in our Common Stock involves a high degree of risk. Refer to the sections entitled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S-7 of this prospectus supplement and beginning on page 7 of the accompanying base prospectus for a discussion of information that should be considered in connection with an investment in our Common Stock.</w:t>
      </w:r>
      <w:r>
        <w:rPr>
          <w:rFonts w:ascii="Times New Roman;Times;Serif" w:hAnsi="Times New Roman;Times;Serif"/>
          <w:b w:val="false"/>
          <w:i w:val="false"/>
          <w:caps w:val="false"/>
          <w:smallCaps w:val="false"/>
          <w:sz w:val="24"/>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 shares or determined if this prospectus is truthful or complete. Any representation to the contrary is a criminal offense.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of the shares of Common Stock is expected on or about May 8, 2024.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May 7, 2024.</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4"/>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245" w:type="dxa"/>
            <w:tcBorders/>
            <w:shd w:fill="CCEEFF" w:val="clear"/>
            <w:vAlign w:val="center"/>
          </w:tcPr>
          <w:p>
            <w:pPr>
              <w:pStyle w:val="TableContents"/>
              <w:bidi w:val="0"/>
              <w:spacing w:before="0" w:after="283"/>
              <w:jc w:val="left"/>
              <w:rPr/>
            </w:pPr>
            <w:hyperlink w:anchor="a_001">
              <w:r>
                <w:rPr>
                  <w:rStyle w:val="InternetLink"/>
                  <w:caps/>
                  <w:sz w:val="20"/>
                </w:rPr>
                <w:t>ABOUT THIS PROSPECTUS supplement</w:t>
              </w:r>
            </w:hyperlink>
          </w:p>
        </w:tc>
        <w:tc>
          <w:tcPr>
            <w:tcW w:w="455" w:type="dxa"/>
            <w:tcBorders/>
            <w:shd w:fill="CCEEFF" w:val="clear"/>
            <w:vAlign w:val="center"/>
          </w:tcPr>
          <w:p>
            <w:pPr>
              <w:pStyle w:val="TableContents"/>
              <w:bidi w:val="0"/>
              <w:spacing w:before="0" w:after="283"/>
              <w:jc w:val="right"/>
              <w:rPr/>
            </w:pPr>
            <w:hyperlink w:anchor="a_001">
              <w:r>
                <w:rPr>
                  <w:rStyle w:val="InternetLink"/>
                  <w:sz w:val="20"/>
                </w:rPr>
                <w:t>S-1</w:t>
              </w:r>
            </w:hyperlink>
          </w:p>
        </w:tc>
      </w:tr>
      <w:tr>
        <w:trPr/>
        <w:tc>
          <w:tcPr>
            <w:tcW w:w="6245" w:type="dxa"/>
            <w:tcBorders/>
            <w:shd w:fill="FFFFFF" w:val="clear"/>
            <w:vAlign w:val="center"/>
          </w:tcPr>
          <w:p>
            <w:pPr>
              <w:pStyle w:val="TableContents"/>
              <w:bidi w:val="0"/>
              <w:spacing w:before="0" w:after="283"/>
              <w:jc w:val="left"/>
              <w:rPr/>
            </w:pPr>
            <w:hyperlink w:anchor="a_002">
              <w:r>
                <w:rPr>
                  <w:rStyle w:val="InternetLink"/>
                  <w:caps/>
                  <w:sz w:val="20"/>
                </w:rPr>
                <w:t>PROSPECTUS supplement SUMMARY</w:t>
              </w:r>
            </w:hyperlink>
          </w:p>
        </w:tc>
        <w:tc>
          <w:tcPr>
            <w:tcW w:w="455" w:type="dxa"/>
            <w:tcBorders/>
            <w:shd w:fill="FFFFFF" w:val="clear"/>
            <w:vAlign w:val="center"/>
          </w:tcPr>
          <w:p>
            <w:pPr>
              <w:pStyle w:val="TableContents"/>
              <w:bidi w:val="0"/>
              <w:spacing w:before="0" w:after="283"/>
              <w:jc w:val="right"/>
              <w:rPr/>
            </w:pPr>
            <w:hyperlink w:anchor="a_002">
              <w:r>
                <w:rPr>
                  <w:rStyle w:val="InternetLink"/>
                  <w:sz w:val="20"/>
                </w:rPr>
                <w:t>S-2</w:t>
              </w:r>
            </w:hyperlink>
          </w:p>
        </w:tc>
      </w:tr>
      <w:tr>
        <w:trPr/>
        <w:tc>
          <w:tcPr>
            <w:tcW w:w="6245" w:type="dxa"/>
            <w:tcBorders/>
            <w:shd w:fill="CCEEFF" w:val="clear"/>
            <w:vAlign w:val="center"/>
          </w:tcPr>
          <w:p>
            <w:pPr>
              <w:pStyle w:val="TableContents"/>
              <w:bidi w:val="0"/>
              <w:spacing w:before="0" w:after="283"/>
              <w:jc w:val="left"/>
              <w:rPr/>
            </w:pPr>
            <w:hyperlink w:anchor="a_003">
              <w:r>
                <w:rPr>
                  <w:rStyle w:val="InternetLink"/>
                  <w:sz w:val="20"/>
                </w:rPr>
                <w:t>THE OFFERING</w:t>
              </w:r>
            </w:hyperlink>
          </w:p>
        </w:tc>
        <w:tc>
          <w:tcPr>
            <w:tcW w:w="455" w:type="dxa"/>
            <w:tcBorders/>
            <w:shd w:fill="CCEEFF" w:val="clear"/>
            <w:vAlign w:val="center"/>
          </w:tcPr>
          <w:p>
            <w:pPr>
              <w:pStyle w:val="TableContents"/>
              <w:bidi w:val="0"/>
              <w:spacing w:before="0" w:after="283"/>
              <w:jc w:val="right"/>
              <w:rPr/>
            </w:pPr>
            <w:hyperlink w:anchor="a_003">
              <w:r>
                <w:rPr>
                  <w:rStyle w:val="InternetLink"/>
                  <w:sz w:val="20"/>
                </w:rPr>
                <w:t>S-3</w:t>
              </w:r>
            </w:hyperlink>
          </w:p>
        </w:tc>
      </w:tr>
      <w:tr>
        <w:trPr/>
        <w:tc>
          <w:tcPr>
            <w:tcW w:w="6245" w:type="dxa"/>
            <w:tcBorders/>
            <w:shd w:fill="FFFFFF" w:val="clear"/>
            <w:vAlign w:val="center"/>
          </w:tcPr>
          <w:p>
            <w:pPr>
              <w:pStyle w:val="TableContents"/>
              <w:bidi w:val="0"/>
              <w:spacing w:before="0" w:after="283"/>
              <w:jc w:val="left"/>
              <w:rPr/>
            </w:pPr>
            <w:hyperlink w:anchor="a_004">
              <w:r>
                <w:rPr>
                  <w:rStyle w:val="InternetLink"/>
                  <w:caps/>
                  <w:sz w:val="20"/>
                </w:rPr>
                <w:t>CAUTIONARY NOTE REGARDING FORWARD-LOOKING STATEMENTS</w:t>
              </w:r>
            </w:hyperlink>
          </w:p>
        </w:tc>
        <w:tc>
          <w:tcPr>
            <w:tcW w:w="455" w:type="dxa"/>
            <w:tcBorders/>
            <w:shd w:fill="FFFFFF" w:val="clear"/>
            <w:vAlign w:val="center"/>
          </w:tcPr>
          <w:p>
            <w:pPr>
              <w:pStyle w:val="TableContents"/>
              <w:bidi w:val="0"/>
              <w:spacing w:before="0" w:after="283"/>
              <w:jc w:val="right"/>
              <w:rPr/>
            </w:pPr>
            <w:hyperlink w:anchor="a_004">
              <w:r>
                <w:rPr>
                  <w:rStyle w:val="InternetLink"/>
                  <w:sz w:val="20"/>
                </w:rPr>
                <w:t>S-4</w:t>
              </w:r>
            </w:hyperlink>
          </w:p>
        </w:tc>
      </w:tr>
      <w:tr>
        <w:trPr/>
        <w:tc>
          <w:tcPr>
            <w:tcW w:w="6245" w:type="dxa"/>
            <w:tcBorders/>
            <w:shd w:fill="CCEEFF" w:val="clear"/>
            <w:vAlign w:val="center"/>
          </w:tcPr>
          <w:p>
            <w:pPr>
              <w:pStyle w:val="TableContents"/>
              <w:bidi w:val="0"/>
              <w:spacing w:before="0" w:after="283"/>
              <w:jc w:val="left"/>
              <w:rPr/>
            </w:pPr>
            <w:hyperlink w:anchor="a_005">
              <w:r>
                <w:rPr>
                  <w:rStyle w:val="InternetLink"/>
                  <w:caps/>
                  <w:sz w:val="20"/>
                </w:rPr>
                <w:t>RISK FACTORS</w:t>
              </w:r>
            </w:hyperlink>
          </w:p>
        </w:tc>
        <w:tc>
          <w:tcPr>
            <w:tcW w:w="455" w:type="dxa"/>
            <w:tcBorders/>
            <w:shd w:fill="CCEEFF" w:val="clear"/>
            <w:vAlign w:val="center"/>
          </w:tcPr>
          <w:p>
            <w:pPr>
              <w:pStyle w:val="TableContents"/>
              <w:bidi w:val="0"/>
              <w:spacing w:before="0" w:after="283"/>
              <w:jc w:val="right"/>
              <w:rPr/>
            </w:pPr>
            <w:hyperlink w:anchor="a_005">
              <w:r>
                <w:rPr>
                  <w:rStyle w:val="InternetLink"/>
                  <w:sz w:val="20"/>
                </w:rPr>
                <w:t>S-5</w:t>
              </w:r>
            </w:hyperlink>
          </w:p>
        </w:tc>
      </w:tr>
      <w:tr>
        <w:trPr/>
        <w:tc>
          <w:tcPr>
            <w:tcW w:w="6245" w:type="dxa"/>
            <w:tcBorders/>
            <w:shd w:fill="FFFFFF" w:val="clear"/>
            <w:vAlign w:val="center"/>
          </w:tcPr>
          <w:p>
            <w:pPr>
              <w:pStyle w:val="TableContents"/>
              <w:bidi w:val="0"/>
              <w:spacing w:before="0" w:after="283"/>
              <w:jc w:val="left"/>
              <w:rPr/>
            </w:pPr>
            <w:hyperlink w:anchor="a_006">
              <w:r>
                <w:rPr>
                  <w:rStyle w:val="InternetLink"/>
                  <w:caps/>
                  <w:sz w:val="20"/>
                </w:rPr>
                <w:t>DIVIDEND POLICY</w:t>
              </w:r>
            </w:hyperlink>
          </w:p>
        </w:tc>
        <w:tc>
          <w:tcPr>
            <w:tcW w:w="455" w:type="dxa"/>
            <w:tcBorders/>
            <w:shd w:fill="FFFFFF" w:val="clear"/>
            <w:vAlign w:val="center"/>
          </w:tcPr>
          <w:p>
            <w:pPr>
              <w:pStyle w:val="TableContents"/>
              <w:bidi w:val="0"/>
              <w:spacing w:before="0" w:after="283"/>
              <w:jc w:val="right"/>
              <w:rPr/>
            </w:pPr>
            <w:hyperlink w:anchor="a_006">
              <w:r>
                <w:rPr>
                  <w:rStyle w:val="InternetLink"/>
                  <w:sz w:val="20"/>
                </w:rPr>
                <w:t>S-6</w:t>
              </w:r>
            </w:hyperlink>
          </w:p>
        </w:tc>
      </w:tr>
      <w:tr>
        <w:trPr/>
        <w:tc>
          <w:tcPr>
            <w:tcW w:w="6245" w:type="dxa"/>
            <w:tcBorders/>
            <w:shd w:fill="CCEEFF" w:val="clear"/>
            <w:vAlign w:val="center"/>
          </w:tcPr>
          <w:p>
            <w:pPr>
              <w:pStyle w:val="TableContents"/>
              <w:bidi w:val="0"/>
              <w:spacing w:before="0" w:after="283"/>
              <w:jc w:val="left"/>
              <w:rPr/>
            </w:pPr>
            <w:hyperlink w:anchor="a_007">
              <w:r>
                <w:rPr>
                  <w:rStyle w:val="InternetLink"/>
                  <w:caps/>
                  <w:sz w:val="20"/>
                </w:rPr>
                <w:t>Use of Proceeds</w:t>
              </w:r>
            </w:hyperlink>
          </w:p>
        </w:tc>
        <w:tc>
          <w:tcPr>
            <w:tcW w:w="455" w:type="dxa"/>
            <w:tcBorders/>
            <w:shd w:fill="CCEEFF" w:val="clear"/>
            <w:vAlign w:val="center"/>
          </w:tcPr>
          <w:p>
            <w:pPr>
              <w:pStyle w:val="TableContents"/>
              <w:bidi w:val="0"/>
              <w:spacing w:before="0" w:after="283"/>
              <w:jc w:val="right"/>
              <w:rPr/>
            </w:pPr>
            <w:hyperlink w:anchor="a_007">
              <w:r>
                <w:rPr>
                  <w:rStyle w:val="InternetLink"/>
                  <w:sz w:val="20"/>
                </w:rPr>
                <w:t>S-7</w:t>
              </w:r>
            </w:hyperlink>
          </w:p>
        </w:tc>
      </w:tr>
      <w:tr>
        <w:trPr/>
        <w:tc>
          <w:tcPr>
            <w:tcW w:w="6245" w:type="dxa"/>
            <w:tcBorders/>
            <w:shd w:fill="FFFFFF" w:val="clear"/>
            <w:vAlign w:val="center"/>
          </w:tcPr>
          <w:p>
            <w:pPr>
              <w:pStyle w:val="TableContents"/>
              <w:bidi w:val="0"/>
              <w:spacing w:before="0" w:after="283"/>
              <w:jc w:val="left"/>
              <w:rPr/>
            </w:pPr>
            <w:hyperlink w:anchor="a_008">
              <w:r>
                <w:rPr>
                  <w:rStyle w:val="InternetLink"/>
                  <w:sz w:val="20"/>
                </w:rPr>
                <w:t>DESCRIPTION OF CAPITAL STOCK</w:t>
              </w:r>
            </w:hyperlink>
          </w:p>
        </w:tc>
        <w:tc>
          <w:tcPr>
            <w:tcW w:w="455" w:type="dxa"/>
            <w:tcBorders/>
            <w:shd w:fill="FFFFFF" w:val="clear"/>
            <w:vAlign w:val="center"/>
          </w:tcPr>
          <w:p>
            <w:pPr>
              <w:pStyle w:val="TableContents"/>
              <w:bidi w:val="0"/>
              <w:spacing w:before="0" w:after="283"/>
              <w:jc w:val="right"/>
              <w:rPr/>
            </w:pPr>
            <w:hyperlink w:anchor="a_008">
              <w:r>
                <w:rPr>
                  <w:rStyle w:val="InternetLink"/>
                  <w:sz w:val="20"/>
                </w:rPr>
                <w:t>S-7</w:t>
              </w:r>
            </w:hyperlink>
          </w:p>
        </w:tc>
      </w:tr>
      <w:tr>
        <w:trPr/>
        <w:tc>
          <w:tcPr>
            <w:tcW w:w="6245" w:type="dxa"/>
            <w:tcBorders/>
            <w:shd w:fill="CCEEFF" w:val="clear"/>
            <w:vAlign w:val="center"/>
          </w:tcPr>
          <w:p>
            <w:pPr>
              <w:pStyle w:val="TableContents"/>
              <w:bidi w:val="0"/>
              <w:spacing w:before="0" w:after="283"/>
              <w:jc w:val="left"/>
              <w:rPr/>
            </w:pPr>
            <w:hyperlink w:anchor="a_009">
              <w:r>
                <w:rPr>
                  <w:rStyle w:val="InternetLink"/>
                  <w:caps/>
                  <w:sz w:val="20"/>
                </w:rPr>
                <w:t>PLAN OF DISTRIBUTION</w:t>
              </w:r>
            </w:hyperlink>
          </w:p>
        </w:tc>
        <w:tc>
          <w:tcPr>
            <w:tcW w:w="455" w:type="dxa"/>
            <w:tcBorders/>
            <w:shd w:fill="CCEEFF" w:val="clear"/>
            <w:vAlign w:val="center"/>
          </w:tcPr>
          <w:p>
            <w:pPr>
              <w:pStyle w:val="TableContents"/>
              <w:bidi w:val="0"/>
              <w:spacing w:before="0" w:after="283"/>
              <w:jc w:val="right"/>
              <w:rPr/>
            </w:pPr>
            <w:hyperlink w:anchor="a_009">
              <w:r>
                <w:rPr>
                  <w:rStyle w:val="InternetLink"/>
                  <w:sz w:val="20"/>
                </w:rPr>
                <w:t>S-8</w:t>
              </w:r>
            </w:hyperlink>
          </w:p>
        </w:tc>
      </w:tr>
      <w:tr>
        <w:trPr/>
        <w:tc>
          <w:tcPr>
            <w:tcW w:w="6245" w:type="dxa"/>
            <w:tcBorders/>
            <w:shd w:fill="FFFFFF" w:val="clear"/>
            <w:vAlign w:val="center"/>
          </w:tcPr>
          <w:p>
            <w:pPr>
              <w:pStyle w:val="TableContents"/>
              <w:bidi w:val="0"/>
              <w:spacing w:before="0" w:after="283"/>
              <w:jc w:val="left"/>
              <w:rPr/>
            </w:pPr>
            <w:hyperlink w:anchor="a_010">
              <w:r>
                <w:rPr>
                  <w:rStyle w:val="InternetLink"/>
                  <w:caps/>
                  <w:sz w:val="20"/>
                </w:rPr>
                <w:t>LEGAL MATTERS</w:t>
              </w:r>
            </w:hyperlink>
          </w:p>
        </w:tc>
        <w:tc>
          <w:tcPr>
            <w:tcW w:w="455" w:type="dxa"/>
            <w:tcBorders/>
            <w:shd w:fill="FFFFFF" w:val="clear"/>
            <w:vAlign w:val="center"/>
          </w:tcPr>
          <w:p>
            <w:pPr>
              <w:pStyle w:val="TableContents"/>
              <w:bidi w:val="0"/>
              <w:spacing w:before="0" w:after="283"/>
              <w:jc w:val="right"/>
              <w:rPr/>
            </w:pPr>
            <w:hyperlink w:anchor="a_010">
              <w:r>
                <w:rPr>
                  <w:rStyle w:val="InternetLink"/>
                  <w:sz w:val="20"/>
                </w:rPr>
                <w:t>S-9</w:t>
              </w:r>
            </w:hyperlink>
          </w:p>
        </w:tc>
      </w:tr>
      <w:tr>
        <w:trPr/>
        <w:tc>
          <w:tcPr>
            <w:tcW w:w="6245" w:type="dxa"/>
            <w:tcBorders/>
            <w:shd w:fill="CCEEFF" w:val="clear"/>
            <w:vAlign w:val="center"/>
          </w:tcPr>
          <w:p>
            <w:pPr>
              <w:pStyle w:val="TableContents"/>
              <w:bidi w:val="0"/>
              <w:spacing w:before="0" w:after="283"/>
              <w:jc w:val="left"/>
              <w:rPr/>
            </w:pPr>
            <w:hyperlink w:anchor="a_011">
              <w:r>
                <w:rPr>
                  <w:rStyle w:val="InternetLink"/>
                  <w:caps/>
                  <w:sz w:val="20"/>
                </w:rPr>
                <w:t>EXPERTS</w:t>
              </w:r>
            </w:hyperlink>
          </w:p>
        </w:tc>
        <w:tc>
          <w:tcPr>
            <w:tcW w:w="455" w:type="dxa"/>
            <w:tcBorders/>
            <w:shd w:fill="CCEEFF" w:val="clear"/>
            <w:vAlign w:val="center"/>
          </w:tcPr>
          <w:p>
            <w:pPr>
              <w:pStyle w:val="TableContents"/>
              <w:bidi w:val="0"/>
              <w:spacing w:before="0" w:after="283"/>
              <w:jc w:val="right"/>
              <w:rPr/>
            </w:pPr>
            <w:hyperlink w:anchor="a_011">
              <w:r>
                <w:rPr>
                  <w:rStyle w:val="InternetLink"/>
                  <w:sz w:val="20"/>
                </w:rPr>
                <w:t>S-8</w:t>
              </w:r>
            </w:hyperlink>
          </w:p>
        </w:tc>
      </w:tr>
      <w:tr>
        <w:trPr/>
        <w:tc>
          <w:tcPr>
            <w:tcW w:w="6245" w:type="dxa"/>
            <w:tcBorders/>
            <w:shd w:fill="FFFFFF" w:val="clear"/>
            <w:vAlign w:val="center"/>
          </w:tcPr>
          <w:p>
            <w:pPr>
              <w:pStyle w:val="TableContents"/>
              <w:bidi w:val="0"/>
              <w:spacing w:before="0" w:after="283"/>
              <w:jc w:val="left"/>
              <w:rPr/>
            </w:pPr>
            <w:hyperlink w:anchor="a_012">
              <w:r>
                <w:rPr>
                  <w:rStyle w:val="InternetLink"/>
                  <w:caps/>
                  <w:sz w:val="20"/>
                </w:rPr>
                <w:t>WHERE YOU CAN FIND ADDITIONAL INFORMATION</w:t>
              </w:r>
            </w:hyperlink>
          </w:p>
        </w:tc>
        <w:tc>
          <w:tcPr>
            <w:tcW w:w="455" w:type="dxa"/>
            <w:tcBorders/>
            <w:shd w:fill="FFFFFF" w:val="clear"/>
            <w:vAlign w:val="center"/>
          </w:tcPr>
          <w:p>
            <w:pPr>
              <w:pStyle w:val="TableContents"/>
              <w:bidi w:val="0"/>
              <w:spacing w:before="0" w:after="283"/>
              <w:jc w:val="right"/>
              <w:rPr/>
            </w:pPr>
            <w:hyperlink w:anchor="a_012">
              <w:r>
                <w:rPr>
                  <w:rStyle w:val="InternetLink"/>
                  <w:sz w:val="20"/>
                </w:rPr>
                <w:t>S-9</w:t>
              </w:r>
            </w:hyperlink>
          </w:p>
        </w:tc>
      </w:tr>
      <w:tr>
        <w:trPr/>
        <w:tc>
          <w:tcPr>
            <w:tcW w:w="6245" w:type="dxa"/>
            <w:tcBorders/>
            <w:shd w:fill="CCEEFF" w:val="clear"/>
            <w:vAlign w:val="center"/>
          </w:tcPr>
          <w:p>
            <w:pPr>
              <w:pStyle w:val="TableContents"/>
              <w:bidi w:val="0"/>
              <w:spacing w:before="0" w:after="283"/>
              <w:jc w:val="left"/>
              <w:rPr/>
            </w:pPr>
            <w:hyperlink w:anchor="a_013">
              <w:r>
                <w:rPr>
                  <w:rStyle w:val="InternetLink"/>
                  <w:caps/>
                  <w:sz w:val="20"/>
                </w:rPr>
                <w:t>INCORPORATION OF CERTAIN INFORMATION BY REFERENCE</w:t>
              </w:r>
            </w:hyperlink>
          </w:p>
        </w:tc>
        <w:tc>
          <w:tcPr>
            <w:tcW w:w="455" w:type="dxa"/>
            <w:tcBorders/>
            <w:shd w:fill="CCEEFF" w:val="clear"/>
            <w:vAlign w:val="center"/>
          </w:tcPr>
          <w:p>
            <w:pPr>
              <w:pStyle w:val="TableContents"/>
              <w:bidi w:val="0"/>
              <w:spacing w:before="0" w:after="283"/>
              <w:jc w:val="right"/>
              <w:rPr/>
            </w:pPr>
            <w:hyperlink w:anchor="a_013">
              <w:r>
                <w:rPr>
                  <w:rStyle w:val="InternetLink"/>
                  <w:sz w:val="20"/>
                </w:rPr>
                <w:t>S-10</w:t>
              </w:r>
            </w:hyperlink>
          </w:p>
        </w:tc>
      </w:tr>
    </w:tbl>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Prospectus</w:t>
      </w:r>
    </w:p>
    <w:tbl>
      <w:tblPr>
        <w:tblW w:w="6745" w:type="dxa"/>
        <w:jc w:val="left"/>
        <w:tblInd w:w="0" w:type="dxa"/>
        <w:tblLayout w:type="fixed"/>
        <w:tblCellMar>
          <w:top w:w="0" w:type="dxa"/>
          <w:left w:w="0" w:type="dxa"/>
          <w:bottom w:w="0" w:type="dxa"/>
          <w:right w:w="0" w:type="dxa"/>
        </w:tblCellMar>
      </w:tblPr>
      <w:tblGrid>
        <w:gridCol w:w="6290"/>
        <w:gridCol w:w="455"/>
      </w:tblGrid>
      <w:tr>
        <w:trPr/>
        <w:tc>
          <w:tcPr>
            <w:tcW w:w="629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290" w:type="dxa"/>
            <w:tcBorders/>
            <w:shd w:fill="CCEEFF" w:val="clear"/>
            <w:vAlign w:val="center"/>
          </w:tcPr>
          <w:p>
            <w:pPr>
              <w:pStyle w:val="TableContents"/>
              <w:bidi w:val="0"/>
              <w:spacing w:before="0" w:after="283"/>
              <w:jc w:val="left"/>
              <w:rPr/>
            </w:pPr>
            <w:hyperlink w:anchor="a_014">
              <w:r>
                <w:rPr>
                  <w:rStyle w:val="InternetLink"/>
                  <w:sz w:val="20"/>
                </w:rPr>
                <w:t xml:space="preserve">ABOUT THIS PROSPECTUS </w:t>
              </w:r>
            </w:hyperlink>
          </w:p>
        </w:tc>
        <w:tc>
          <w:tcPr>
            <w:tcW w:w="455" w:type="dxa"/>
            <w:tcBorders/>
            <w:shd w:fill="CCEEFF" w:val="clear"/>
            <w:vAlign w:val="center"/>
          </w:tcPr>
          <w:p>
            <w:pPr>
              <w:pStyle w:val="TableContents"/>
              <w:bidi w:val="0"/>
              <w:spacing w:before="0" w:after="283"/>
              <w:jc w:val="right"/>
              <w:rPr/>
            </w:pPr>
            <w:hyperlink w:anchor="a_014">
              <w:r>
                <w:rPr>
                  <w:rStyle w:val="InternetLink"/>
                  <w:sz w:val="20"/>
                </w:rPr>
                <w:t>1</w:t>
              </w:r>
            </w:hyperlink>
          </w:p>
        </w:tc>
      </w:tr>
      <w:tr>
        <w:trPr/>
        <w:tc>
          <w:tcPr>
            <w:tcW w:w="6290" w:type="dxa"/>
            <w:tcBorders/>
            <w:shd w:fill="FFFFFF" w:val="clear"/>
            <w:vAlign w:val="center"/>
          </w:tcPr>
          <w:p>
            <w:pPr>
              <w:pStyle w:val="TableContents"/>
              <w:bidi w:val="0"/>
              <w:spacing w:before="0" w:after="283"/>
              <w:jc w:val="left"/>
              <w:rPr/>
            </w:pPr>
            <w:hyperlink w:anchor="a_015">
              <w:r>
                <w:rPr>
                  <w:rStyle w:val="InternetLink"/>
                  <w:sz w:val="20"/>
                </w:rPr>
                <w:t xml:space="preserve">CAUTIONARY NOTE REGARDING FORWARD-LOOKING STATEMENTS </w:t>
              </w:r>
            </w:hyperlink>
          </w:p>
        </w:tc>
        <w:tc>
          <w:tcPr>
            <w:tcW w:w="455" w:type="dxa"/>
            <w:tcBorders/>
            <w:shd w:fill="FFFFFF" w:val="clear"/>
            <w:vAlign w:val="center"/>
          </w:tcPr>
          <w:p>
            <w:pPr>
              <w:pStyle w:val="TableContents"/>
              <w:bidi w:val="0"/>
              <w:spacing w:before="0" w:after="283"/>
              <w:jc w:val="right"/>
              <w:rPr/>
            </w:pPr>
            <w:hyperlink w:anchor="a_015">
              <w:r>
                <w:rPr>
                  <w:rStyle w:val="InternetLink"/>
                  <w:sz w:val="20"/>
                </w:rPr>
                <w:t>1</w:t>
              </w:r>
            </w:hyperlink>
          </w:p>
        </w:tc>
      </w:tr>
      <w:tr>
        <w:trPr/>
        <w:tc>
          <w:tcPr>
            <w:tcW w:w="6290" w:type="dxa"/>
            <w:tcBorders/>
            <w:shd w:fill="CCEEFF" w:val="clear"/>
            <w:vAlign w:val="center"/>
          </w:tcPr>
          <w:p>
            <w:pPr>
              <w:pStyle w:val="TableContents"/>
              <w:bidi w:val="0"/>
              <w:spacing w:before="0" w:after="283"/>
              <w:jc w:val="left"/>
              <w:rPr/>
            </w:pPr>
            <w:hyperlink w:anchor="a_016">
              <w:r>
                <w:rPr>
                  <w:rStyle w:val="InternetLink"/>
                  <w:sz w:val="20"/>
                </w:rPr>
                <w:t xml:space="preserve">WHERE YOU CAN FIND MORE INFORMATION </w:t>
              </w:r>
            </w:hyperlink>
          </w:p>
        </w:tc>
        <w:tc>
          <w:tcPr>
            <w:tcW w:w="455" w:type="dxa"/>
            <w:tcBorders/>
            <w:shd w:fill="CCEEFF" w:val="clear"/>
            <w:vAlign w:val="center"/>
          </w:tcPr>
          <w:p>
            <w:pPr>
              <w:pStyle w:val="TableContents"/>
              <w:bidi w:val="0"/>
              <w:spacing w:before="0" w:after="283"/>
              <w:jc w:val="right"/>
              <w:rPr/>
            </w:pPr>
            <w:hyperlink w:anchor="a_016">
              <w:r>
                <w:rPr>
                  <w:rStyle w:val="InternetLink"/>
                  <w:sz w:val="20"/>
                </w:rPr>
                <w:t>3</w:t>
              </w:r>
            </w:hyperlink>
          </w:p>
        </w:tc>
      </w:tr>
      <w:tr>
        <w:trPr/>
        <w:tc>
          <w:tcPr>
            <w:tcW w:w="6290" w:type="dxa"/>
            <w:tcBorders/>
            <w:shd w:fill="FFFFFF" w:val="clear"/>
            <w:vAlign w:val="center"/>
          </w:tcPr>
          <w:p>
            <w:pPr>
              <w:pStyle w:val="TableContents"/>
              <w:bidi w:val="0"/>
              <w:spacing w:before="0" w:after="283"/>
              <w:jc w:val="left"/>
              <w:rPr/>
            </w:pPr>
            <w:hyperlink w:anchor="a_017">
              <w:r>
                <w:rPr>
                  <w:rStyle w:val="InternetLink"/>
                  <w:sz w:val="20"/>
                </w:rPr>
                <w:t xml:space="preserve">INCORPORATION BY REFERENCE </w:t>
              </w:r>
            </w:hyperlink>
          </w:p>
        </w:tc>
        <w:tc>
          <w:tcPr>
            <w:tcW w:w="455" w:type="dxa"/>
            <w:tcBorders/>
            <w:shd w:fill="FFFFFF" w:val="clear"/>
            <w:vAlign w:val="center"/>
          </w:tcPr>
          <w:p>
            <w:pPr>
              <w:pStyle w:val="TableContents"/>
              <w:bidi w:val="0"/>
              <w:spacing w:before="0" w:after="283"/>
              <w:jc w:val="right"/>
              <w:rPr/>
            </w:pPr>
            <w:hyperlink w:anchor="a_017">
              <w:r>
                <w:rPr>
                  <w:rStyle w:val="InternetLink"/>
                  <w:sz w:val="20"/>
                </w:rPr>
                <w:t>4</w:t>
              </w:r>
            </w:hyperlink>
          </w:p>
        </w:tc>
      </w:tr>
      <w:tr>
        <w:trPr/>
        <w:tc>
          <w:tcPr>
            <w:tcW w:w="6290" w:type="dxa"/>
            <w:tcBorders/>
            <w:shd w:fill="CCEEFF" w:val="clear"/>
            <w:vAlign w:val="center"/>
          </w:tcPr>
          <w:p>
            <w:pPr>
              <w:pStyle w:val="TableContents"/>
              <w:bidi w:val="0"/>
              <w:spacing w:before="0" w:after="283"/>
              <w:jc w:val="left"/>
              <w:rPr/>
            </w:pPr>
            <w:hyperlink w:anchor="a_018">
              <w:r>
                <w:rPr>
                  <w:rStyle w:val="InternetLink"/>
                  <w:sz w:val="20"/>
                </w:rPr>
                <w:t xml:space="preserve">PROSPECTUS SUMMARY </w:t>
              </w:r>
            </w:hyperlink>
          </w:p>
        </w:tc>
        <w:tc>
          <w:tcPr>
            <w:tcW w:w="455" w:type="dxa"/>
            <w:tcBorders/>
            <w:shd w:fill="CCEEFF" w:val="clear"/>
            <w:vAlign w:val="center"/>
          </w:tcPr>
          <w:p>
            <w:pPr>
              <w:pStyle w:val="TableContents"/>
              <w:bidi w:val="0"/>
              <w:spacing w:before="0" w:after="283"/>
              <w:jc w:val="right"/>
              <w:rPr/>
            </w:pPr>
            <w:hyperlink w:anchor="a_018">
              <w:r>
                <w:rPr>
                  <w:rStyle w:val="InternetLink"/>
                  <w:sz w:val="20"/>
                </w:rPr>
                <w:t>5</w:t>
              </w:r>
            </w:hyperlink>
          </w:p>
        </w:tc>
      </w:tr>
      <w:tr>
        <w:trPr/>
        <w:tc>
          <w:tcPr>
            <w:tcW w:w="6290" w:type="dxa"/>
            <w:tcBorders/>
            <w:shd w:fill="FFFFFF" w:val="clear"/>
            <w:vAlign w:val="center"/>
          </w:tcPr>
          <w:p>
            <w:pPr>
              <w:pStyle w:val="TableContents"/>
              <w:bidi w:val="0"/>
              <w:spacing w:before="0" w:after="283"/>
              <w:jc w:val="left"/>
              <w:rPr/>
            </w:pPr>
            <w:hyperlink w:anchor="a_019">
              <w:r>
                <w:rPr>
                  <w:rStyle w:val="InternetLink"/>
                  <w:sz w:val="20"/>
                </w:rPr>
                <w:t xml:space="preserve">RISK FACTORS </w:t>
              </w:r>
            </w:hyperlink>
          </w:p>
        </w:tc>
        <w:tc>
          <w:tcPr>
            <w:tcW w:w="455" w:type="dxa"/>
            <w:tcBorders/>
            <w:shd w:fill="FFFFFF" w:val="clear"/>
            <w:vAlign w:val="center"/>
          </w:tcPr>
          <w:p>
            <w:pPr>
              <w:pStyle w:val="TableContents"/>
              <w:bidi w:val="0"/>
              <w:spacing w:before="0" w:after="283"/>
              <w:jc w:val="right"/>
              <w:rPr/>
            </w:pPr>
            <w:hyperlink w:anchor="a_019">
              <w:r>
                <w:rPr>
                  <w:rStyle w:val="InternetLink"/>
                  <w:sz w:val="20"/>
                </w:rPr>
                <w:t>7</w:t>
              </w:r>
            </w:hyperlink>
          </w:p>
        </w:tc>
      </w:tr>
      <w:tr>
        <w:trPr/>
        <w:tc>
          <w:tcPr>
            <w:tcW w:w="6290" w:type="dxa"/>
            <w:tcBorders/>
            <w:shd w:fill="CCEEFF" w:val="clear"/>
            <w:vAlign w:val="center"/>
          </w:tcPr>
          <w:p>
            <w:pPr>
              <w:pStyle w:val="TableContents"/>
              <w:bidi w:val="0"/>
              <w:spacing w:before="0" w:after="283"/>
              <w:jc w:val="left"/>
              <w:rPr/>
            </w:pPr>
            <w:hyperlink w:anchor="a_020">
              <w:r>
                <w:rPr>
                  <w:rStyle w:val="InternetLink"/>
                  <w:sz w:val="20"/>
                </w:rPr>
                <w:t xml:space="preserve">USE OF PROCEEDS </w:t>
              </w:r>
            </w:hyperlink>
          </w:p>
        </w:tc>
        <w:tc>
          <w:tcPr>
            <w:tcW w:w="455" w:type="dxa"/>
            <w:tcBorders/>
            <w:shd w:fill="CCEEFF" w:val="clear"/>
            <w:vAlign w:val="center"/>
          </w:tcPr>
          <w:p>
            <w:pPr>
              <w:pStyle w:val="TableContents"/>
              <w:bidi w:val="0"/>
              <w:spacing w:before="0" w:after="283"/>
              <w:jc w:val="right"/>
              <w:rPr/>
            </w:pPr>
            <w:hyperlink w:anchor="a_020">
              <w:r>
                <w:rPr>
                  <w:rStyle w:val="InternetLink"/>
                  <w:sz w:val="20"/>
                </w:rPr>
                <w:t>8</w:t>
              </w:r>
            </w:hyperlink>
          </w:p>
        </w:tc>
      </w:tr>
      <w:tr>
        <w:trPr/>
        <w:tc>
          <w:tcPr>
            <w:tcW w:w="6290" w:type="dxa"/>
            <w:tcBorders/>
            <w:shd w:fill="FFFFFF" w:val="clear"/>
            <w:vAlign w:val="center"/>
          </w:tcPr>
          <w:p>
            <w:pPr>
              <w:pStyle w:val="TableContents"/>
              <w:bidi w:val="0"/>
              <w:spacing w:before="0" w:after="283"/>
              <w:jc w:val="left"/>
              <w:rPr/>
            </w:pPr>
            <w:hyperlink w:anchor="a_021">
              <w:r>
                <w:rPr>
                  <w:rStyle w:val="InternetLink"/>
                  <w:sz w:val="20"/>
                </w:rPr>
                <w:t xml:space="preserve">GENERAL DESCRIPTION OF SECURITIES </w:t>
              </w:r>
            </w:hyperlink>
          </w:p>
        </w:tc>
        <w:tc>
          <w:tcPr>
            <w:tcW w:w="455" w:type="dxa"/>
            <w:tcBorders/>
            <w:shd w:fill="FFFFFF" w:val="clear"/>
            <w:vAlign w:val="center"/>
          </w:tcPr>
          <w:p>
            <w:pPr>
              <w:pStyle w:val="TableContents"/>
              <w:bidi w:val="0"/>
              <w:spacing w:before="0" w:after="283"/>
              <w:jc w:val="right"/>
              <w:rPr/>
            </w:pPr>
            <w:hyperlink w:anchor="a_021">
              <w:r>
                <w:rPr>
                  <w:rStyle w:val="InternetLink"/>
                  <w:sz w:val="20"/>
                </w:rPr>
                <w:t>9</w:t>
              </w:r>
            </w:hyperlink>
          </w:p>
        </w:tc>
      </w:tr>
      <w:tr>
        <w:trPr/>
        <w:tc>
          <w:tcPr>
            <w:tcW w:w="6290" w:type="dxa"/>
            <w:tcBorders/>
            <w:shd w:fill="CCEEFF" w:val="clear"/>
            <w:vAlign w:val="center"/>
          </w:tcPr>
          <w:p>
            <w:pPr>
              <w:pStyle w:val="TableContents"/>
              <w:bidi w:val="0"/>
              <w:spacing w:before="0" w:after="283"/>
              <w:jc w:val="left"/>
              <w:rPr/>
            </w:pPr>
            <w:hyperlink w:anchor="a_022">
              <w:r>
                <w:rPr>
                  <w:rStyle w:val="InternetLink"/>
                  <w:sz w:val="20"/>
                </w:rPr>
                <w:t xml:space="preserve">DESCRIPTION OF CAPITAL STOCK </w:t>
              </w:r>
            </w:hyperlink>
          </w:p>
        </w:tc>
        <w:tc>
          <w:tcPr>
            <w:tcW w:w="455" w:type="dxa"/>
            <w:tcBorders/>
            <w:shd w:fill="CCEEFF" w:val="clear"/>
            <w:vAlign w:val="center"/>
          </w:tcPr>
          <w:p>
            <w:pPr>
              <w:pStyle w:val="TableContents"/>
              <w:bidi w:val="0"/>
              <w:spacing w:before="0" w:after="283"/>
              <w:jc w:val="right"/>
              <w:rPr/>
            </w:pPr>
            <w:hyperlink w:anchor="a_022">
              <w:r>
                <w:rPr>
                  <w:rStyle w:val="InternetLink"/>
                  <w:sz w:val="20"/>
                </w:rPr>
                <w:t>10</w:t>
              </w:r>
            </w:hyperlink>
          </w:p>
        </w:tc>
      </w:tr>
      <w:tr>
        <w:trPr/>
        <w:tc>
          <w:tcPr>
            <w:tcW w:w="6290" w:type="dxa"/>
            <w:tcBorders/>
            <w:shd w:fill="FFFFFF" w:val="clear"/>
            <w:vAlign w:val="center"/>
          </w:tcPr>
          <w:p>
            <w:pPr>
              <w:pStyle w:val="TableContents"/>
              <w:bidi w:val="0"/>
              <w:spacing w:before="0" w:after="283"/>
              <w:jc w:val="left"/>
              <w:rPr/>
            </w:pPr>
            <w:hyperlink w:anchor="a_023">
              <w:r>
                <w:rPr>
                  <w:rStyle w:val="InternetLink"/>
                  <w:sz w:val="20"/>
                </w:rPr>
                <w:t xml:space="preserve">DESCRIPTION OF DEBT SECURITIES </w:t>
              </w:r>
            </w:hyperlink>
          </w:p>
        </w:tc>
        <w:tc>
          <w:tcPr>
            <w:tcW w:w="455" w:type="dxa"/>
            <w:tcBorders/>
            <w:shd w:fill="FFFFFF" w:val="clear"/>
            <w:vAlign w:val="center"/>
          </w:tcPr>
          <w:p>
            <w:pPr>
              <w:pStyle w:val="TableContents"/>
              <w:bidi w:val="0"/>
              <w:spacing w:before="0" w:after="283"/>
              <w:jc w:val="right"/>
              <w:rPr/>
            </w:pPr>
            <w:hyperlink w:anchor="a_023">
              <w:r>
                <w:rPr>
                  <w:rStyle w:val="InternetLink"/>
                  <w:sz w:val="20"/>
                </w:rPr>
                <w:t>14</w:t>
              </w:r>
            </w:hyperlink>
          </w:p>
        </w:tc>
      </w:tr>
      <w:tr>
        <w:trPr/>
        <w:tc>
          <w:tcPr>
            <w:tcW w:w="6290" w:type="dxa"/>
            <w:tcBorders/>
            <w:shd w:fill="CCEEFF" w:val="clear"/>
            <w:vAlign w:val="center"/>
          </w:tcPr>
          <w:p>
            <w:pPr>
              <w:pStyle w:val="TableContents"/>
              <w:bidi w:val="0"/>
              <w:spacing w:before="0" w:after="283"/>
              <w:jc w:val="left"/>
              <w:rPr/>
            </w:pPr>
            <w:hyperlink w:anchor="a_024">
              <w:r>
                <w:rPr>
                  <w:rStyle w:val="InternetLink"/>
                  <w:sz w:val="20"/>
                </w:rPr>
                <w:t xml:space="preserve">PLAN OF DISTRIBUTION </w:t>
              </w:r>
            </w:hyperlink>
          </w:p>
        </w:tc>
        <w:tc>
          <w:tcPr>
            <w:tcW w:w="455" w:type="dxa"/>
            <w:tcBorders/>
            <w:shd w:fill="CCEEFF" w:val="clear"/>
            <w:vAlign w:val="center"/>
          </w:tcPr>
          <w:p>
            <w:pPr>
              <w:pStyle w:val="TableContents"/>
              <w:bidi w:val="0"/>
              <w:spacing w:before="0" w:after="283"/>
              <w:jc w:val="right"/>
              <w:rPr/>
            </w:pPr>
            <w:hyperlink w:anchor="a_024">
              <w:r>
                <w:rPr>
                  <w:rStyle w:val="InternetLink"/>
                  <w:sz w:val="20"/>
                </w:rPr>
                <w:t>22</w:t>
              </w:r>
            </w:hyperlink>
          </w:p>
        </w:tc>
      </w:tr>
      <w:tr>
        <w:trPr/>
        <w:tc>
          <w:tcPr>
            <w:tcW w:w="6290" w:type="dxa"/>
            <w:tcBorders/>
            <w:shd w:fill="FFFFFF" w:val="clear"/>
            <w:vAlign w:val="center"/>
          </w:tcPr>
          <w:p>
            <w:pPr>
              <w:pStyle w:val="TableContents"/>
              <w:bidi w:val="0"/>
              <w:spacing w:before="0" w:after="283"/>
              <w:jc w:val="left"/>
              <w:rPr/>
            </w:pPr>
            <w:hyperlink w:anchor="a_025">
              <w:r>
                <w:rPr>
                  <w:rStyle w:val="InternetLink"/>
                  <w:sz w:val="20"/>
                </w:rPr>
                <w:t xml:space="preserve">LEGAL MATTERS </w:t>
              </w:r>
            </w:hyperlink>
          </w:p>
        </w:tc>
        <w:tc>
          <w:tcPr>
            <w:tcW w:w="455" w:type="dxa"/>
            <w:tcBorders/>
            <w:shd w:fill="FFFFFF" w:val="clear"/>
            <w:vAlign w:val="center"/>
          </w:tcPr>
          <w:p>
            <w:pPr>
              <w:pStyle w:val="TableContents"/>
              <w:bidi w:val="0"/>
              <w:spacing w:before="0" w:after="283"/>
              <w:jc w:val="right"/>
              <w:rPr/>
            </w:pPr>
            <w:hyperlink w:anchor="a_025">
              <w:r>
                <w:rPr>
                  <w:rStyle w:val="InternetLink"/>
                  <w:sz w:val="20"/>
                </w:rPr>
                <w:t>25</w:t>
              </w:r>
            </w:hyperlink>
          </w:p>
        </w:tc>
      </w:tr>
      <w:tr>
        <w:trPr/>
        <w:tc>
          <w:tcPr>
            <w:tcW w:w="6290" w:type="dxa"/>
            <w:tcBorders/>
            <w:shd w:fill="CCEEFF" w:val="clear"/>
            <w:vAlign w:val="center"/>
          </w:tcPr>
          <w:p>
            <w:pPr>
              <w:pStyle w:val="TableContents"/>
              <w:bidi w:val="0"/>
              <w:spacing w:before="0" w:after="283"/>
              <w:jc w:val="left"/>
              <w:rPr/>
            </w:pPr>
            <w:hyperlink w:anchor="a_026">
              <w:r>
                <w:rPr>
                  <w:rStyle w:val="InternetLink"/>
                  <w:sz w:val="20"/>
                </w:rPr>
                <w:t xml:space="preserve">EXPERTS </w:t>
              </w:r>
            </w:hyperlink>
          </w:p>
        </w:tc>
        <w:tc>
          <w:tcPr>
            <w:tcW w:w="455" w:type="dxa"/>
            <w:tcBorders/>
            <w:shd w:fill="CCEEFF" w:val="clear"/>
            <w:vAlign w:val="center"/>
          </w:tcPr>
          <w:p>
            <w:pPr>
              <w:pStyle w:val="TableContents"/>
              <w:bidi w:val="0"/>
              <w:spacing w:before="0" w:after="283"/>
              <w:jc w:val="right"/>
              <w:rPr/>
            </w:pPr>
            <w:hyperlink w:anchor="a_026">
              <w:r>
                <w:rPr>
                  <w:rStyle w:val="InternetLink"/>
                  <w:sz w:val="20"/>
                </w:rPr>
                <w:t>26</w:t>
              </w:r>
            </w:hyperlink>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are part of a Registration Statement on Form S-3 (File No. 333-272956) that we filed with the SEC utilizing a “shelf” registration process. Under this shelf registration process, we are offering shares of our Common Stock in the offering described in this prospectus supplement.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the offering and also adds to and updates information contained in the accompanying base prospectus and the documents incorporated by reference herein and therein. The second part, the accompanying base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base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base prospectus—the statement in the document having the later date modifies or supersedes the earlier statement.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or the information incorporated by reference herein. We have not authorized anyone to provide you with information that is different. The information contained in this prospectus, or incorporated by reference herein, is accurate only as of the respective dates thereof, regardless of the time of delivery of this prospectus or of any issuance of our shares. It is important that you read and consider all information contained in this prospectus, including the documents incorporated by reference herein, in making your investment decision. You should also read and consider the information in the documents to which we have referred you in the sections entitled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in this prospectus supplement.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our shares of Common Stock offered by this prospectus only in jurisdictions where offers are permitted. The distribution of this prospectus and the offering of our shares of Common Stock in certain jurisdictions may be restricted by law. Persons outside the United States who come into possession of this prospectus must inform themselves about, and observe any restrictions relating to, the offering of our shares of Common Stock and the distribution of this prospectus outside the United States. This prospectus does not constitute, and may not be used in connection with, an offer to sell, or a solicitation of an offer to buy, any shares of Common Stock offered by this prospectus by any person in any jurisdiction in which it is unlawful for such person to make such an offer or solicitation.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requires otherwise, all references in this prospectus to the “Company,” “we,” “us,” “our” and “Expion360” refer to Expion360 Inc., a Nevada corporation.</w:t>
      </w:r>
    </w:p>
    <w:p>
      <w:pPr>
        <w:pStyle w:val="TextBody"/>
        <w:bidi w:val="0"/>
        <w:ind w:left="0" w:right="0" w:firstLine="72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S-1</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PROSPECTUS SUPPLEMENT SUMMARY</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supplement summary highlights selected information included elsewhere in the prospectus and does not contain all of the information you should consider before buying shares of our Common Stock. You should read the entire prospectus carefully, including the section entitled “Risk Factors” and the financial statements and related notes incorporated by reference into this prospectus, before deciding to invest in our Common Stock. Some of the statements in this prospectus supplement constitute forward-looking statements. For additional information, refer to the section of this prospectus supplement entitled “Cautionary Note Regarding Forward-Looking Statements.”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w:t>
      </w:r>
    </w:p>
    <w:p>
      <w:pPr>
        <w:pStyle w:val="TextBody"/>
        <w:bidi w:val="0"/>
        <w:spacing w:before="0" w:after="180"/>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Overview </w:t>
      </w:r>
    </w:p>
    <w:p>
      <w:pPr>
        <w:pStyle w:val="TextBody"/>
        <w:bidi w:val="0"/>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Expion360 focuses on the design, assembly, manufacturing, and sales of lithium iron phosphate (“LiFePO4”) batteries and supporting accessories for recreational vehicles (“RVs”), marine applications and home energy storage products, with plans to expand into industrial applications. We design, assemble, and distribute high-powered, lithium battery solutions using ground-breaking concepts and rugged, high-quality designs with a creative sales and marketing approach. We believe that our product offerings include some of the most dense and minimal-footprint batteries in the RV and marine industries. We are developing the e360 Home Energy Storage System, a system that we expect to significantly change the industry in barrier price, flexibility, and integration. We are deploying multiple intellectual property strategies with cutting-edge research and unique products to sustain and scale the business. We currently have customers consisting of dealers, wholesalers, private label customers and original equipment manufacturers who are driving revenue and brand awareness nationally.</w:t>
      </w:r>
    </w:p>
    <w:p>
      <w:pPr>
        <w:pStyle w:val="TextBody"/>
        <w:bidi w:val="0"/>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are based in Redmond, Oregon, and our suppliers are based in the United States, Asia, and Europe. We are currently in the process of building out manufacturing capacity at our corporate headquarters. Our long-term target is to onshore the manufacturing of most of our components and assemblies, including cell manufacturing, to the United States.</w:t>
      </w:r>
    </w:p>
    <w:p>
      <w:pPr>
        <w:pStyle w:val="TextBody"/>
        <w:bidi w:val="0"/>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target markets are currently the RV and marine industries. We believe that we are well-positioned to capitalize on the rapid market conversion from lead-acid to lithium batteries as the primary method of power sourcing in these industries. We are also focused on expanding into the home energy storage market with the introduction of our two LiFePO4 battery storage systems, where we aim to provide a cost-effective, low barrier of entry, flexible system for those looking to power their homes via solar energy, wind, or grid back-up. Along with RV, marine and home energy storage markets, we aim to provide additional capacities to the ever-expanding electric forklift and industrial material handling markets.</w:t>
      </w:r>
    </w:p>
    <w:p>
      <w:pPr>
        <w:pStyle w:val="TextBody"/>
        <w:bidi w:val="0"/>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Expion360’s e360 product line, which is manufactured for the RV and marine industries, was launched in December 2020. The e360 product line, through its sales growth, has shown to be a preferred conversion solution for lead-acid batteries. In December 2023, we announced our entrance into the home energy storge market with our introduction of two LiFePO4 battery storage solutions that enable residential and small business customers to create their own stable micro-energy grid and lessen the impact of increasing power fluctuations and outages. We believe that our e360 Home Energy Storage System has strong revenue potential with recurring income opportunities for us and our associated sales partners.</w:t>
      </w:r>
    </w:p>
    <w:p>
      <w:pPr>
        <w:pStyle w:val="TextBody"/>
        <w:bidi w:val="0"/>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provide numerous advantages for various industries that are looking to migrate to lithium-based energy storage. They incorporate detailed-oriented design and engineering and strong case materials and internal and structural layouts, and are backed by responsive customer service.</w:t>
      </w:r>
    </w:p>
    <w:p>
      <w:pPr>
        <w:pStyle w:val="TextBody"/>
        <w:bidi w:val="0"/>
        <w:spacing w:before="0" w:after="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Expion360 Inc. was initially organized as a limited liability company under the name Yozamp Products Company, LLC in the State of Oregon on June 16, 2016, We converted to a Nevada corporation and changed our name to Expion360 Inc. pursuant to articles of conversion filed on November 16, 2021.</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S-2</w:t>
      </w:r>
    </w:p>
    <w:p>
      <w:pPr>
        <w:pStyle w:val="TextBody"/>
        <w:bidi w:val="0"/>
        <w:spacing w:before="0" w:after="0"/>
        <w:ind w:left="0" w:right="0" w:hanging="0"/>
        <w:jc w:val="left"/>
        <w:rPr/>
      </w:pPr>
      <w:r>
        <w:rPr/>
        <w:t> </w:t>
      </w:r>
    </w:p>
    <w:p>
      <w:pPr>
        <w:pStyle w:val="TextBody"/>
        <w:bidi w:val="0"/>
        <w:jc w:val="left"/>
        <w:rPr>
          <w:caps/>
        </w:rPr>
      </w:pPr>
      <w:r>
        <w:rPr>
          <w:caps/>
        </w:rPr>
        <w:t> </w:t>
      </w:r>
    </w:p>
    <w:p>
      <w:pPr>
        <w:pStyle w:val="TextBody"/>
        <w:bidi w:val="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The Offering</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6"/>
        <w:gridCol w:w="8409"/>
      </w:tblGrid>
      <w:tr>
        <w:trPr/>
        <w:tc>
          <w:tcPr>
            <w:tcW w:w="1796" w:type="dxa"/>
            <w:tcBorders/>
            <w:vAlign w:val="center"/>
          </w:tcPr>
          <w:p>
            <w:pPr>
              <w:pStyle w:val="TableContents"/>
              <w:bidi w:val="0"/>
              <w:spacing w:before="0" w:after="283"/>
              <w:jc w:val="left"/>
              <w:rPr>
                <w:b/>
                <w:sz w:val="20"/>
              </w:rPr>
            </w:pPr>
            <w:r>
              <w:rPr>
                <w:b/>
                <w:sz w:val="20"/>
              </w:rPr>
              <w:t>Common Stock offered by us</w:t>
            </w:r>
          </w:p>
        </w:tc>
        <w:tc>
          <w:tcPr>
            <w:tcW w:w="8409" w:type="dxa"/>
            <w:tcBorders/>
            <w:vAlign w:val="center"/>
          </w:tcPr>
          <w:p>
            <w:pPr>
              <w:pStyle w:val="TableContents"/>
              <w:bidi w:val="0"/>
              <w:spacing w:before="0" w:after="283"/>
              <w:jc w:val="both"/>
              <w:rPr>
                <w:sz w:val="20"/>
              </w:rPr>
            </w:pPr>
            <w:r>
              <w:rPr>
                <w:sz w:val="20"/>
              </w:rPr>
              <w:t>100,000 shares of Common Stock, at a deemed offering price of $1.88 per share, which is the last reported sale price of our Common Stock on Nasdaq on May 6, 2024.</w:t>
            </w:r>
          </w:p>
        </w:tc>
      </w:tr>
      <w:tr>
        <w:trPr/>
        <w:tc>
          <w:tcPr>
            <w:tcW w:w="1796" w:type="dxa"/>
            <w:tcBorders/>
            <w:vAlign w:val="center"/>
          </w:tcPr>
          <w:p>
            <w:pPr>
              <w:pStyle w:val="TableContents"/>
              <w:bidi w:val="0"/>
              <w:spacing w:before="0" w:after="283"/>
              <w:jc w:val="left"/>
              <w:rPr/>
            </w:pPr>
            <w:r>
              <w:rPr/>
              <w:t> </w:t>
            </w:r>
          </w:p>
        </w:tc>
        <w:tc>
          <w:tcPr>
            <w:tcW w:w="8409" w:type="dxa"/>
            <w:tcBorders/>
            <w:vAlign w:val="center"/>
          </w:tcPr>
          <w:p>
            <w:pPr>
              <w:pStyle w:val="TableContents"/>
              <w:bidi w:val="0"/>
              <w:spacing w:before="0" w:after="283"/>
              <w:jc w:val="both"/>
              <w:rPr/>
            </w:pPr>
            <w:r>
              <w:rPr/>
              <w:t> </w:t>
            </w:r>
          </w:p>
        </w:tc>
      </w:tr>
      <w:tr>
        <w:trPr/>
        <w:tc>
          <w:tcPr>
            <w:tcW w:w="1796" w:type="dxa"/>
            <w:tcBorders/>
            <w:vAlign w:val="center"/>
          </w:tcPr>
          <w:p>
            <w:pPr>
              <w:pStyle w:val="TableContents"/>
              <w:bidi w:val="0"/>
              <w:spacing w:before="0" w:after="283"/>
              <w:jc w:val="left"/>
              <w:rPr>
                <w:b/>
                <w:sz w:val="20"/>
              </w:rPr>
            </w:pPr>
            <w:r>
              <w:rPr>
                <w:b/>
                <w:sz w:val="20"/>
              </w:rPr>
              <w:t>Common Stock outstanding prior to the offering</w:t>
            </w:r>
          </w:p>
        </w:tc>
        <w:tc>
          <w:tcPr>
            <w:tcW w:w="8409" w:type="dxa"/>
            <w:tcBorders/>
            <w:vAlign w:val="center"/>
          </w:tcPr>
          <w:p>
            <w:pPr>
              <w:pStyle w:val="TableContents"/>
              <w:bidi w:val="0"/>
              <w:spacing w:before="0" w:after="283"/>
              <w:jc w:val="both"/>
              <w:rPr>
                <w:sz w:val="20"/>
              </w:rPr>
            </w:pPr>
            <w:r>
              <w:rPr>
                <w:sz w:val="20"/>
              </w:rPr>
              <w:t>7,345,261 shares of Common Stock.</w:t>
            </w:r>
          </w:p>
        </w:tc>
      </w:tr>
      <w:tr>
        <w:trPr/>
        <w:tc>
          <w:tcPr>
            <w:tcW w:w="1796" w:type="dxa"/>
            <w:tcBorders/>
            <w:vAlign w:val="center"/>
          </w:tcPr>
          <w:p>
            <w:pPr>
              <w:pStyle w:val="TableContents"/>
              <w:bidi w:val="0"/>
              <w:spacing w:before="0" w:after="283"/>
              <w:jc w:val="left"/>
              <w:rPr/>
            </w:pPr>
            <w:r>
              <w:rPr/>
              <w:t> </w:t>
            </w:r>
          </w:p>
        </w:tc>
        <w:tc>
          <w:tcPr>
            <w:tcW w:w="8409" w:type="dxa"/>
            <w:tcBorders/>
            <w:vAlign w:val="center"/>
          </w:tcPr>
          <w:p>
            <w:pPr>
              <w:pStyle w:val="TableContents"/>
              <w:bidi w:val="0"/>
              <w:spacing w:before="0" w:after="283"/>
              <w:jc w:val="both"/>
              <w:rPr/>
            </w:pPr>
            <w:r>
              <w:rPr/>
              <w:t> </w:t>
            </w:r>
          </w:p>
        </w:tc>
      </w:tr>
      <w:tr>
        <w:trPr/>
        <w:tc>
          <w:tcPr>
            <w:tcW w:w="1796" w:type="dxa"/>
            <w:tcBorders/>
            <w:vAlign w:val="center"/>
          </w:tcPr>
          <w:p>
            <w:pPr>
              <w:pStyle w:val="TableContents"/>
              <w:bidi w:val="0"/>
              <w:spacing w:before="0" w:after="283"/>
              <w:jc w:val="left"/>
              <w:rPr>
                <w:b/>
                <w:sz w:val="20"/>
              </w:rPr>
            </w:pPr>
            <w:r>
              <w:rPr>
                <w:b/>
                <w:sz w:val="20"/>
              </w:rPr>
              <w:t>Common Stock to be outstanding after the offering</w:t>
            </w:r>
          </w:p>
        </w:tc>
        <w:tc>
          <w:tcPr>
            <w:tcW w:w="8409" w:type="dxa"/>
            <w:tcBorders/>
            <w:vAlign w:val="center"/>
          </w:tcPr>
          <w:p>
            <w:pPr>
              <w:pStyle w:val="TableContents"/>
              <w:bidi w:val="0"/>
              <w:spacing w:before="0" w:after="283"/>
              <w:jc w:val="both"/>
              <w:rPr>
                <w:sz w:val="20"/>
              </w:rPr>
            </w:pPr>
            <w:r>
              <w:rPr>
                <w:sz w:val="20"/>
              </w:rPr>
              <w:t>Up to 7,445,261 shares of Common Stock.</w:t>
            </w:r>
          </w:p>
        </w:tc>
      </w:tr>
      <w:tr>
        <w:trPr/>
        <w:tc>
          <w:tcPr>
            <w:tcW w:w="1796" w:type="dxa"/>
            <w:tcBorders/>
            <w:vAlign w:val="center"/>
          </w:tcPr>
          <w:p>
            <w:pPr>
              <w:pStyle w:val="TableContents"/>
              <w:bidi w:val="0"/>
              <w:spacing w:before="0" w:after="283"/>
              <w:jc w:val="left"/>
              <w:rPr/>
            </w:pPr>
            <w:r>
              <w:rPr/>
              <w:t> </w:t>
            </w:r>
          </w:p>
        </w:tc>
        <w:tc>
          <w:tcPr>
            <w:tcW w:w="8409" w:type="dxa"/>
            <w:tcBorders/>
            <w:vAlign w:val="center"/>
          </w:tcPr>
          <w:p>
            <w:pPr>
              <w:pStyle w:val="TableContents"/>
              <w:bidi w:val="0"/>
              <w:spacing w:before="0" w:after="283"/>
              <w:jc w:val="both"/>
              <w:rPr/>
            </w:pPr>
            <w:r>
              <w:rPr/>
              <w:t> </w:t>
            </w:r>
          </w:p>
        </w:tc>
      </w:tr>
      <w:tr>
        <w:trPr/>
        <w:tc>
          <w:tcPr>
            <w:tcW w:w="1796" w:type="dxa"/>
            <w:tcBorders/>
            <w:vAlign w:val="center"/>
          </w:tcPr>
          <w:p>
            <w:pPr>
              <w:pStyle w:val="TableContents"/>
              <w:bidi w:val="0"/>
              <w:spacing w:before="0" w:after="283"/>
              <w:jc w:val="left"/>
              <w:rPr>
                <w:b/>
                <w:sz w:val="20"/>
              </w:rPr>
            </w:pPr>
            <w:r>
              <w:rPr>
                <w:b/>
                <w:sz w:val="20"/>
              </w:rPr>
              <w:t>Nasdaq symbol</w:t>
            </w:r>
          </w:p>
        </w:tc>
        <w:tc>
          <w:tcPr>
            <w:tcW w:w="8409" w:type="dxa"/>
            <w:tcBorders/>
            <w:vAlign w:val="center"/>
          </w:tcPr>
          <w:p>
            <w:pPr>
              <w:pStyle w:val="TableContents"/>
              <w:bidi w:val="0"/>
              <w:spacing w:before="0" w:after="283"/>
              <w:jc w:val="both"/>
              <w:rPr>
                <w:sz w:val="20"/>
              </w:rPr>
            </w:pPr>
            <w:r>
              <w:rPr>
                <w:sz w:val="20"/>
              </w:rPr>
              <w:t>XPON</w:t>
            </w:r>
          </w:p>
        </w:tc>
      </w:tr>
      <w:tr>
        <w:trPr/>
        <w:tc>
          <w:tcPr>
            <w:tcW w:w="1796" w:type="dxa"/>
            <w:tcBorders/>
            <w:vAlign w:val="center"/>
          </w:tcPr>
          <w:p>
            <w:pPr>
              <w:pStyle w:val="TableContents"/>
              <w:bidi w:val="0"/>
              <w:spacing w:before="0" w:after="283"/>
              <w:jc w:val="left"/>
              <w:rPr/>
            </w:pPr>
            <w:r>
              <w:rPr/>
              <w:t> </w:t>
            </w:r>
          </w:p>
        </w:tc>
        <w:tc>
          <w:tcPr>
            <w:tcW w:w="8409" w:type="dxa"/>
            <w:tcBorders/>
            <w:vAlign w:val="center"/>
          </w:tcPr>
          <w:p>
            <w:pPr>
              <w:pStyle w:val="TableContents"/>
              <w:bidi w:val="0"/>
              <w:spacing w:before="0" w:after="283"/>
              <w:jc w:val="both"/>
              <w:rPr/>
            </w:pPr>
            <w:r>
              <w:rPr/>
              <w:t> </w:t>
            </w:r>
          </w:p>
        </w:tc>
      </w:tr>
      <w:tr>
        <w:trPr/>
        <w:tc>
          <w:tcPr>
            <w:tcW w:w="1796" w:type="dxa"/>
            <w:tcBorders/>
            <w:vAlign w:val="center"/>
          </w:tcPr>
          <w:p>
            <w:pPr>
              <w:pStyle w:val="TableContents"/>
              <w:bidi w:val="0"/>
              <w:spacing w:before="0" w:after="283"/>
              <w:jc w:val="left"/>
              <w:rPr>
                <w:b/>
                <w:sz w:val="20"/>
              </w:rPr>
            </w:pPr>
            <w:r>
              <w:rPr>
                <w:b/>
                <w:sz w:val="20"/>
              </w:rPr>
              <w:t>Use of proceeds</w:t>
            </w:r>
          </w:p>
        </w:tc>
        <w:tc>
          <w:tcPr>
            <w:tcW w:w="8409" w:type="dxa"/>
            <w:tcBorders/>
            <w:vAlign w:val="center"/>
          </w:tcPr>
          <w:p>
            <w:pPr>
              <w:pStyle w:val="TableContents"/>
              <w:bidi w:val="0"/>
              <w:spacing w:before="0" w:after="283"/>
              <w:jc w:val="both"/>
              <w:rPr>
                <w:sz w:val="20"/>
              </w:rPr>
            </w:pPr>
            <w:r>
              <w:rPr>
                <w:sz w:val="20"/>
              </w:rPr>
              <w:t xml:space="preserve">The shares of Common Stock are being issued in consideration of the amount payable under the terms of the Settlement Agreement, and accordingly, no cash proceeds will be received by us from the issuance of the shares. </w:t>
            </w:r>
          </w:p>
        </w:tc>
      </w:tr>
      <w:tr>
        <w:trPr/>
        <w:tc>
          <w:tcPr>
            <w:tcW w:w="1796" w:type="dxa"/>
            <w:tcBorders/>
            <w:vAlign w:val="center"/>
          </w:tcPr>
          <w:p>
            <w:pPr>
              <w:pStyle w:val="TableContents"/>
              <w:bidi w:val="0"/>
              <w:spacing w:before="0" w:after="283"/>
              <w:jc w:val="left"/>
              <w:rPr/>
            </w:pPr>
            <w:r>
              <w:rPr/>
              <w:t> </w:t>
            </w:r>
          </w:p>
        </w:tc>
        <w:tc>
          <w:tcPr>
            <w:tcW w:w="8409" w:type="dxa"/>
            <w:tcBorders/>
            <w:vAlign w:val="center"/>
          </w:tcPr>
          <w:p>
            <w:pPr>
              <w:pStyle w:val="TableContents"/>
              <w:bidi w:val="0"/>
              <w:spacing w:before="0" w:after="283"/>
              <w:jc w:val="both"/>
              <w:rPr/>
            </w:pPr>
            <w:r>
              <w:rPr/>
              <w:t> </w:t>
            </w:r>
          </w:p>
        </w:tc>
      </w:tr>
      <w:tr>
        <w:trPr/>
        <w:tc>
          <w:tcPr>
            <w:tcW w:w="1796" w:type="dxa"/>
            <w:tcBorders/>
            <w:vAlign w:val="center"/>
          </w:tcPr>
          <w:p>
            <w:pPr>
              <w:pStyle w:val="TableContents"/>
              <w:bidi w:val="0"/>
              <w:spacing w:before="0" w:after="283"/>
              <w:jc w:val="left"/>
              <w:rPr>
                <w:b/>
                <w:sz w:val="20"/>
              </w:rPr>
            </w:pPr>
            <w:r>
              <w:rPr>
                <w:b/>
                <w:sz w:val="20"/>
              </w:rPr>
              <w:t>Risk factors</w:t>
            </w:r>
          </w:p>
        </w:tc>
        <w:tc>
          <w:tcPr>
            <w:tcW w:w="8409" w:type="dxa"/>
            <w:tcBorders/>
            <w:vAlign w:val="center"/>
          </w:tcPr>
          <w:p>
            <w:pPr>
              <w:pStyle w:val="TableContents"/>
              <w:bidi w:val="0"/>
              <w:spacing w:before="0" w:after="283"/>
              <w:jc w:val="both"/>
              <w:rPr>
                <w:sz w:val="20"/>
              </w:rPr>
            </w:pPr>
            <w:r>
              <w:rPr>
                <w:sz w:val="20"/>
              </w:rPr>
              <w:t>Investing in our Common Stock involves a high degree of risk. You should carefully consider the information set forth in the section entitled “</w:t>
            </w:r>
            <w:r>
              <w:rPr>
                <w:i/>
                <w:sz w:val="20"/>
              </w:rPr>
              <w:t>Risk Factors</w:t>
            </w:r>
            <w:r>
              <w:rPr>
                <w:sz w:val="20"/>
              </w:rPr>
              <w:t>” beginning on page S-7 of this prospectus supplement and beginning on page 7 of the accompanying base prospectus, for a discussion of information that should be considered in connection with an investment in our Common Stock.</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that will be outstanding is based on the 7,345,261 shares outstanding as of May 1, 2024, and excludes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78,000 shares of Common Stock issuable upon the exercise of warrants to purchase Common Stock outstanding as of May 1, 2024, at an exercise price of $2.90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514,290 shares of Common Stock issuable upon the exercise of warrants to purchase Common Stock outstanding as of May 1, 2024, at an exercise price of $3.32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148,005 shares of Common Stock issuable upon the exercise of warrants to purchase Common Stock outstanding as of May 1, 2024, at an exercise price of $9.10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25,000 shares of Common Stock issuable upon the exercise of warrants to purchase Common Stock outstanding as of May 1, 2024, at an exercise price of $5.00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30,000 shares of Common Stock issuable upon the exercise of options outstanding as of May 1, 2024, which were not issued under a specified plan,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1,220,051 shares of Common Stock issuable upon the exercise of equity incentive awards outstanding under our 2021 Incentive Award Plan as of May 1,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551,623 shares of Common Stock available for future issuance under our 2021 Incentive Award Plan as of May 1,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2,500,000 shares of Common Stock available for future issuance under our 2021 Employee Stock Purchase Plan as of May 1, 2024;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396,834 shares of Common Stock issuable upon conversion of the principal amount of our unsecured convertible note as of May 1, 2024.</w:t>
            </w:r>
          </w:p>
        </w:tc>
      </w:tr>
    </w:tbl>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information in this prospectus assumes no exercise of outstanding options or warrants, and no conversion of convertible notes.</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S-3</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CAUTIONARY NOTE REGARDING FORWARD-LOOKING STATEMENTS</w:t>
      </w:r>
    </w:p>
    <w:p>
      <w:pPr>
        <w:pStyle w:val="TextBody"/>
        <w:bidi w:val="0"/>
        <w:jc w:val="left"/>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base prospectus, and the documents incorporated by reference herein and therein, contain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prospectus, other than statements of historical fact, are forward-looking statements. You can identify forward-looking statements by the use of words such as “anticipate,” “believe,” “continue” “could,” “expect,” “intend,” “may,” “will,” or the negative of such terms, or other comparable terminology. Forward-looking statements also include the assumptions underlying or relating to such statements. In particular, forward-looking statements included or incorporated by reference in this prospectus relate to, among other things, our future or assumed financial condition, results of operations, liquidity, business forecasts and plans, strategic plans and objectives, and competitive environment. We caution you that the foregoing list may not include all of the forward-looking statements made in this prospectus.</w:t>
      </w:r>
    </w:p>
    <w:p>
      <w:pPr>
        <w:pStyle w:val="TextBody"/>
        <w:bidi w:val="0"/>
        <w:jc w:val="left"/>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S-7 of this prospectus supplement, beginning on page 7 of the accompanying base prospectus, as well as in the other reports we file with the SEC. You should read this prospectus with the understanding that our actual future results may be materially different from and worse than what we expect.</w:t>
      </w:r>
    </w:p>
    <w:p>
      <w:pPr>
        <w:pStyle w:val="TextBody"/>
        <w:bidi w:val="0"/>
        <w:jc w:val="left"/>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jc w:val="left"/>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were made, and, except to the extent required by law or the Nasdaq listing rules, we undertake no obligation to update or review any forward-looking statement because of new information, future events or other factors.</w:t>
      </w:r>
    </w:p>
    <w:p>
      <w:pPr>
        <w:pStyle w:val="TextBody"/>
        <w:bidi w:val="0"/>
        <w:jc w:val="left"/>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all of our forward-looking statements by these cautionary statements.</w:t>
      </w:r>
    </w:p>
    <w:p>
      <w:pPr>
        <w:pStyle w:val="TextBody"/>
        <w:bidi w:val="0"/>
        <w:jc w:val="left"/>
        <w:rPr>
          <w:caps/>
        </w:rPr>
      </w:pPr>
      <w:r>
        <w:rPr>
          <w:caps/>
        </w:rPr>
        <w:t> </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a high degree of risk. Before deciding whether to invest in our Common Stock, you should consider carefully the risks described below, as well as the risk factors contained in our most recent Annual Report on Form 10-K and Quarterly Reports on Form 10-Q, together with the other information contained in this prospectus supplement, in the accompanying base prospectus, and in the information and documents incorporated by reference herein and therein. If any of these risks actually occurs, our business, financial condition, results of operations and liquidity could be materially adversely impacted. This could cause the trading price of our Common Stock to decline, resulting in a loss of all or part of your investment.</w:t>
      </w:r>
    </w:p>
    <w:p>
      <w:pPr>
        <w:pStyle w:val="TextBody"/>
        <w:bidi w:val="0"/>
        <w:spacing w:before="0" w:after="2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w:t>
      </w:r>
    </w:p>
    <w:p>
      <w:pPr>
        <w:pStyle w:val="TextBody"/>
        <w:bidi w:val="0"/>
        <w:spacing w:before="0" w:after="24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you are issued shares of our Common Stock in this offering, you may experience future dilution as a result of future issuance of equity securities.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raise additional capital in the future to fund the growth and operation of our business. To raise additional capital, we may offer additional shares of our Common Stock, or other securities convertible into, or exercisable or exchangeable for, shares of our Common Stock, at prices that may be lower than the deemed offering price of our Common Stock in this offering. In addition, investors purchasing our securities in the future could have rights superior to those of our existing shareholders. Furthermore, if any of our outstanding options or warrants are exercised at prices below the deemed offering price, or if we grant additional options or other awards under our equity incentive plans, or if we issue additional convertible notes or warrants, you may experience further dilution of your investment.</w:t>
      </w:r>
    </w:p>
    <w:p>
      <w:pPr>
        <w:pStyle w:val="TextBody"/>
        <w:bidi w:val="0"/>
        <w:spacing w:before="0" w:after="24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declared dividends on our Common Stock and have no intention to declare dividends in the foreseeable future.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our Common Stock and do not anticipate that we will pay any dividends to holders of our Common Stock in the foreseeable future. We intend to use any excess cash for the development, operation and expansion of our business. The decision to pay cash dividends on our Common Stock rests with our board of directors and will depend on a number of factors, including our financial condition, results of operations and capital requirements.</w:t>
      </w:r>
    </w:p>
    <w:p>
      <w:pPr>
        <w:pStyle w:val="TextBody"/>
        <w:bidi w:val="0"/>
        <w:ind w:left="0" w:right="0" w:firstLine="72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S-5</w:t>
      </w:r>
    </w:p>
    <w:p>
      <w:pPr>
        <w:pStyle w:val="TextBody"/>
        <w:bidi w:val="0"/>
        <w:spacing w:before="0" w:after="0"/>
        <w:ind w:left="0" w:right="0" w:hanging="0"/>
        <w:jc w:val="left"/>
        <w:rPr/>
      </w:pPr>
      <w:r>
        <w:rPr/>
        <w:t> </w:t>
      </w:r>
    </w:p>
    <w:p>
      <w:pPr>
        <w:pStyle w:val="TextBody"/>
        <w:bidi w:val="0"/>
        <w:jc w:val="left"/>
        <w:rPr>
          <w:caps/>
        </w:rPr>
      </w:pPr>
      <w:r>
        <w:rPr>
          <w:caps/>
        </w:rPr>
        <w:t> </w:t>
      </w:r>
    </w:p>
    <w:p>
      <w:pPr>
        <w:pStyle w:val="TextBody"/>
        <w:bidi w:val="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Dividend Policy</w:t>
      </w:r>
    </w:p>
    <w:p>
      <w:pPr>
        <w:pStyle w:val="TextBody"/>
        <w:bidi w:val="0"/>
        <w:jc w:val="both"/>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our Common Stock and do not anticipate that we will pay any dividends to holders of our Common Stock in the foreseeable future. Instead, we currently plan to retain any earnings to finance the growth of our business. Any future determination relating to dividend policy will be made at the discretion of our board of directors and will depend on our financial condition, results of operations, and capital requirements, as well as other factors deemed relevant by our board of directors.</w:t>
      </w:r>
    </w:p>
    <w:p>
      <w:pPr>
        <w:pStyle w:val="TextBody"/>
        <w:bidi w:val="0"/>
        <w:jc w:val="both"/>
        <w:rPr>
          <w:caps/>
        </w:rPr>
      </w:pPr>
      <w:r>
        <w:rPr>
          <w:caps/>
        </w:rPr>
        <w:t> </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S-6</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USE OF PROCEEDS</w:t>
      </w:r>
    </w:p>
    <w:p>
      <w:pPr>
        <w:pStyle w:val="TextBody"/>
        <w:bidi w:val="0"/>
        <w:jc w:val="both"/>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100,000 shares of our Common Stock pursuant to this prospectus and the Settlement Agreement. The shares are being issued in consideration of the amount payable under the terms of the Settlement Agreement, and accordingly, no cash proceeds will be received by us from the issuance of the shares.</w:t>
      </w:r>
    </w:p>
    <w:p>
      <w:pPr>
        <w:pStyle w:val="TextBody"/>
        <w:bidi w:val="0"/>
        <w:ind w:left="0" w:right="0" w:firstLine="720"/>
        <w:jc w:val="both"/>
        <w:rPr>
          <w:caps w:val="false"/>
          <w:smallCaps w:val="false"/>
        </w:rPr>
      </w:pPr>
      <w:r>
        <w:rPr>
          <w:caps w:val="false"/>
          <w:smallCaps w:val="false"/>
        </w:rPr>
        <w:t> </w:t>
      </w:r>
    </w:p>
    <w:p>
      <w:pPr>
        <w:pStyle w:val="TextBody"/>
        <w:bidi w:val="0"/>
        <w:jc w:val="both"/>
        <w:rPr>
          <w:caps/>
        </w:rPr>
      </w:pPr>
      <w:r>
        <w:rPr>
          <w:caps/>
        </w:rPr>
        <w:t> </w:t>
      </w:r>
    </w:p>
    <w:p>
      <w:pPr>
        <w:pStyle w:val="TextBody"/>
        <w:bidi w:val="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CAPITAL STOCK</w:t>
      </w:r>
    </w:p>
    <w:p>
      <w:pPr>
        <w:pStyle w:val="TextBody"/>
        <w:bidi w:val="0"/>
        <w:ind w:left="0" w:right="0" w:firstLine="720"/>
        <w:jc w:val="both"/>
        <w:rPr>
          <w:caps w:val="false"/>
          <w:smallCaps w:val="false"/>
        </w:rPr>
      </w:pPr>
      <w:r>
        <w:rPr>
          <w:caps w:val="false"/>
          <w:smallCaps w:val="false"/>
        </w:rPr>
        <w:t> </w:t>
      </w:r>
    </w:p>
    <w:p>
      <w:pPr>
        <w:pStyle w:val="TextBody"/>
        <w:bidi w:val="0"/>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characteristics of our Common Stock are described in the section entitled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in the accompanying base prospectus.</w:t>
      </w:r>
    </w:p>
    <w:p>
      <w:pPr>
        <w:pStyle w:val="TextBody"/>
        <w:bidi w:val="0"/>
        <w:spacing w:before="0" w:after="1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Pacific Stock Transfer Company. Pacific Stock Transfer Company’s address is 6725 Via Austi Pkwy, Suite 300, Las Vegas, Nevada 89119 and telephone number is (800) 785-7782.</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10" w:name="a_009"/>
      <w:bookmarkEnd w:id="10"/>
      <w:r>
        <w:rPr>
          <w:rFonts w:ascii="Times New Roman;Times;Serif" w:hAnsi="Times New Roman;Times;Serif"/>
          <w:b/>
          <w:i w:val="false"/>
          <w:caps/>
          <w:sz w:val="20"/>
        </w:rPr>
        <w:t xml:space="preserve">PLAN </w:t>
      </w:r>
      <w:r>
        <w:rPr>
          <w:rFonts w:ascii="Times New Roman;Times;Serif" w:hAnsi="Times New Roman;Times;Serif"/>
          <w:b/>
          <w:i w:val="false"/>
          <w:caps w:val="false"/>
          <w:smallCaps w:val="false"/>
          <w:sz w:val="20"/>
        </w:rPr>
        <w:t>OF DISTRIBUTION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100,000 shares of our Common Stock pursuant to this prospectus and the Settlement Agreement. The shares are being issued in consideration of the amount payable under the terms of the Settlement Agreement, and accordingly, no cash proceeds will be received by us from the issuance of the shares. We currently anticipate that the shares will be delivered to Alexander on or about May 8, 2024.</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of our expenses in connection with the registration, offering, and issuance of the shares of our Common Stock pursuant to the Settlement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ind w:left="144"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“XPON.” On May 6, 2024, the last reported sale price of our Common Stock on Nasdaq was $1.88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ind w:left="144"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Alexander and any of our other shareholders, brokers, dealers, underwriters or agents relating to the sale or distribution of our Common Stock offered by this prospectus.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or its affiliates may in the future engage in transactions with, and may perform, from time to time, investment banking and advisory services for us in the ordinary course of their business and for which they would receive customary fees and expenses. In addition, in the ordinary course of their business activities, Alexander and its affiliates may make or hold a broad array of investments and actively trade debt and equity securities (or related derivative securities) and financial instruments (including bank loans) for its own account and for the accounts of its customers. Such investments and securities activities may involve securities and/or instruments of ours or our affiliates.</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S-8</w:t>
      </w:r>
    </w:p>
    <w:p>
      <w:pPr>
        <w:pStyle w:val="TextBody"/>
        <w:bidi w:val="0"/>
        <w:spacing w:before="0" w:after="0"/>
        <w:ind w:left="0" w:right="0" w:hanging="0"/>
        <w:jc w:val="left"/>
        <w:rPr/>
      </w:pPr>
      <w:r>
        <w:rPr/>
        <w:t> </w:t>
      </w:r>
    </w:p>
    <w:p>
      <w:pPr>
        <w:pStyle w:val="TextBody"/>
        <w:bidi w:val="0"/>
        <w:jc w:val="left"/>
        <w:rPr>
          <w:caps/>
        </w:rPr>
      </w:pPr>
      <w:r>
        <w:rPr>
          <w:caps/>
        </w:rPr>
        <w:t> </w:t>
      </w:r>
    </w:p>
    <w:p>
      <w:pPr>
        <w:pStyle w:val="TextBody"/>
        <w:bidi w:val="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under this prospectus will be passed upon by Stradling Yocca Carlson &amp; Rauth LLP, Newport Beach, California.</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as of December 31, 2023 and 2022, and for each of the two years in the period ended December 31, 2023, incorporated by reference in this prospectus supplement, have been audited by M&amp;K CPAS, PLLC, an independent registered public accounting firm. Such financial statements are incorporated by reference in reliance upon the report of such firm given their authority as experts in accounting and auditing.</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ADDITIONAL INFORMATION</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and the rules and regulations promulgated thereunder, with respect to our Common Stock offered under this prospectus. This prospectus, which constitutes a part of the registration statement, does not contain all of the information contained in the registration statement and the exhibits and schedules thereto. Certain contracts and other documents described in this prospectus are filed as exhibits to the registration statement, or to documents incorporated by reference into the registration statement, and you may review the full text of these contracts and documents by referring to these exhibits. For further information with respect to us and our Common Stock offered under this prospectus, reference is made to the registration statement and its exhibits and schedules.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that contains these reports, proxy and information statements, and other information we file electronically with the SEC. Our filings are available free of charge at the SEC’s website at www.sec.gov. We also maintain a website at www.expion360.com,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S-9</w:t>
      </w:r>
    </w:p>
    <w:p>
      <w:pPr>
        <w:pStyle w:val="TextBody"/>
        <w:bidi w:val="0"/>
        <w:spacing w:before="0" w:after="0"/>
        <w:ind w:left="0" w:right="0" w:hanging="0"/>
        <w:jc w:val="left"/>
        <w:rPr/>
      </w:pPr>
      <w:r>
        <w:rPr/>
        <w:t> </w:t>
      </w:r>
    </w:p>
    <w:p>
      <w:pPr>
        <w:pStyle w:val="TextBody"/>
        <w:bidi w:val="0"/>
        <w:jc w:val="left"/>
        <w:rPr>
          <w:caps/>
        </w:rPr>
      </w:pPr>
      <w:r>
        <w:rPr>
          <w:caps/>
        </w:rPr>
        <w:t> </w:t>
      </w:r>
    </w:p>
    <w:p>
      <w:pPr>
        <w:pStyle w:val="TextBody"/>
        <w:bidi w:val="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INCORPORATION OF CERTAIN INFORMATION BY REFERENCE</w:t>
      </w:r>
    </w:p>
    <w:p>
      <w:pPr>
        <w:pStyle w:val="TextBody"/>
        <w:bidi w:val="0"/>
        <w:jc w:val="center"/>
        <w:rPr>
          <w:caps/>
        </w:rPr>
      </w:pPr>
      <w:r>
        <w:rPr>
          <w:caps/>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much of the information we file with the SEC, which means that we can disclose important information to you by referring you to those publicly available documents. The information that we incorporate by reference into this prospectus is considered to be part of this prospectus. These documents may include Annual Reports on Form 10-K, Quarterly Reports on Form 10-Q and Current Reports on Form 8-K, as well as proxy statements and information statements. You should read the information incorporated by reference because it is an important part of this prospectus.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incorporates by reference the documents listed below, other than those documents or the portions of those documents deemed to be furnished and not filed in accordance with SEC rules: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Annual Report on Form 10-K for the fiscal year ended December 31, 2023, as filed with the SEC on March 28,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Amendment No. 1 to our Annual Report on Form 10-K/A for the fiscal year ended December 31, 2023, as filed with the SEC on April 29,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Description of Capital Stock contained in our Registration Statement on Form 8-A (File No. 001-41347), filed with the SEC on March 31, 2022, pursuant to Section 12 of the Exchange Act, as updated by Exhibit 4.4 to our Annual Report on Form 10-K for the fiscal year ended December 31, 2023, as filed with the SEC on March 28, 2024.</w:t>
            </w:r>
          </w:p>
        </w:tc>
      </w:tr>
    </w:tbl>
    <w:p>
      <w:pPr>
        <w:pStyle w:val="TextBody"/>
        <w:bidi w:val="0"/>
        <w:ind w:left="72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after the date of this prospectus supplement but prior to the termination of this offering,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obtain copies of the documents incorporated by reference in this prospectus from us free of charge by requesting them in writing or by telephone at the following address:</w:t>
      </w:r>
    </w:p>
    <w:p>
      <w:pPr>
        <w:pStyle w:val="TextBody"/>
        <w:bidi w:val="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Aydelott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Expion360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SW Deerhound Avenue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Redmond, Oregon 97756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 797-6714</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prospectus as to the contents of any contract or other document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pStyle w:val="TextBody"/>
        <w:bidi w:val="0"/>
        <w:spacing w:before="0" w:after="0"/>
        <w:jc w:val="center"/>
        <w:rPr>
          <w:bdr w:val="single" w:sz="16" w:space="1" w:color="000000"/>
        </w:rPr>
      </w:pPr>
      <w:r>
        <w:rPr>
          <w:bdr w:val="single" w:sz="16" w:space="1" w:color="000000"/>
        </w:rPr>
        <w:t> </w:t>
      </w:r>
      <w:r>
        <w:rPr>
          <w:sz w:val="20"/>
          <w:bdr w:val="single" w:sz="16" w:space="1" w:color="000000"/>
        </w:rPr>
        <w:t>S-10</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spacing w:lineRule="auto" w:line="256" w:before="0" w:after="160"/>
        <w:jc w:val="center"/>
        <w:rPr>
          <w:caps w:val="false"/>
          <w:smallCaps w:val="false"/>
        </w:rPr>
      </w:pPr>
      <w:r>
        <w:rPr>
          <w:caps w:val="false"/>
          <w:smallCaps w:val="false"/>
        </w:rPr>
        <w:drawing>
          <wp:inline distT="0" distB="0" distL="0" distR="0">
            <wp:extent cx="762000" cy="80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 cy="800100"/>
                    </a:xfrm>
                    <a:prstGeom prst="rect">
                      <a:avLst/>
                    </a:prstGeom>
                  </pic:spPr>
                </pic:pic>
              </a:graphicData>
            </a:graphic>
          </wp:inline>
        </w:drawing>
      </w:r>
    </w:p>
    <w:p>
      <w:pPr>
        <w:pStyle w:val="TextBody"/>
        <w:bidi w:val="0"/>
        <w:spacing w:lineRule="auto" w:line="256" w:before="0" w:after="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Expion360 Inc.</w:t>
      </w:r>
    </w:p>
    <w:p>
      <w:pPr>
        <w:pStyle w:val="TextBody"/>
        <w:bidi w:val="0"/>
        <w:spacing w:lineRule="auto" w:line="256" w:before="0" w:after="160"/>
        <w:jc w:val="center"/>
        <w:rPr>
          <w:caps w:val="false"/>
          <w:smallCaps w:val="false"/>
        </w:rPr>
      </w:pPr>
      <w:r>
        <w:rPr>
          <w:caps w:val="false"/>
          <w:smallCaps w:val="false"/>
        </w:rPr>
        <w:t> </w:t>
      </w:r>
    </w:p>
    <w:p>
      <w:pPr>
        <w:pStyle w:val="TextBody"/>
        <w:bidi w:val="0"/>
        <w:spacing w:lineRule="auto" w:line="25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w:t>
      </w:r>
    </w:p>
    <w:p>
      <w:pPr>
        <w:pStyle w:val="TextBody"/>
        <w:bidi w:val="0"/>
        <w:spacing w:lineRule="auto" w:line="25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lineRule="auto" w:line="25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lineRule="auto" w:line="25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lineRule="auto" w:line="25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lineRule="auto" w:line="256"/>
        <w:jc w:val="center"/>
        <w:rPr>
          <w:caps w:val="false"/>
          <w:smallCaps w:val="false"/>
        </w:rPr>
      </w:pPr>
      <w:r>
        <w:rPr>
          <w:caps w:val="false"/>
          <w:smallCaps w:val="false"/>
        </w:rPr>
        <w:t> </w:t>
      </w:r>
    </w:p>
    <w:p>
      <w:pPr>
        <w:pStyle w:val="TextBody"/>
        <w:bidi w:val="0"/>
        <w:spacing w:lineRule="auto" w:line="256"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up to $50,000,000 in aggregate principal amount of our common stock, preferred stock, debt securities or warrants, in each case in one or more issuances and at prices and on terms that we will determine at the time of the offering. We may also offer common stock or preferred stock upon conversion of debt securities, common stock upon conversion of preferred stock, or common stock, preferred stock or debt securities upon the exchange of warrants.</w:t>
      </w:r>
    </w:p>
    <w:p>
      <w:pPr>
        <w:pStyle w:val="TextBody"/>
        <w:bidi w:val="0"/>
        <w:spacing w:lineRule="auto" w:line="256"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pStyle w:val="TextBody"/>
        <w:bidi w:val="0"/>
        <w:spacing w:lineRule="auto" w:line="256"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“XPON.” On June 26, 2023, the last reported sales price of our common stock was $4.76 per share.</w:t>
      </w:r>
    </w:p>
    <w:p>
      <w:pPr>
        <w:pStyle w:val="TextBody"/>
        <w:bidi w:val="0"/>
        <w:spacing w:lineRule="auto" w:line="256"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26, 2023, the aggregate market value of our outstanding common stock held by non-affiliates, or public float, was approximately $24,867,078 million, based on 6,910,717 shares of outstanding common stock, of which approximately 1,686,541 shares were held by affiliates, and a price of $4.76 per share, which was the price at which our common stock was last sold on the Nasdaq Capital Market on such date. We have not offered any securities pursuant to General Instruction I.B.6 of Form S-3 during the prior 12-calendar-month period that ends on and includes the date of this prospectus.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 million (the “Baby Shelf Limitation”).</w:t>
      </w:r>
    </w:p>
    <w:p>
      <w:pPr>
        <w:pStyle w:val="TextBody"/>
        <w:bidi w:val="0"/>
        <w:spacing w:lineRule="auto" w:line="256"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lineRule="auto" w:line="256" w:before="0" w:after="18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We will also describe in an applicable prospectus supplement the way(s) in which we expect to use the net proceeds we receive from any sale.</w:t>
      </w:r>
    </w:p>
    <w:p>
      <w:pPr>
        <w:pStyle w:val="TextBody"/>
        <w:bidi w:val="0"/>
        <w:spacing w:lineRule="auto" w:line="256" w:before="0" w:after="18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the section entitled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xml:space="preserve">” beginning on page 7 of this prospectus to read about factors you should consider before buying our securities. </w:t>
      </w:r>
    </w:p>
    <w:p>
      <w:pPr>
        <w:pStyle w:val="TextBody"/>
        <w:bidi w:val="0"/>
        <w:spacing w:lineRule="auto" w:line="256" w:before="0" w:after="18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56" w:before="0" w:after="18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any securities unless accompanied by a prospectus supplement.</w:t>
      </w:r>
    </w:p>
    <w:p>
      <w:pPr>
        <w:pStyle w:val="TextBody"/>
        <w:bidi w:val="0"/>
        <w:spacing w:lineRule="auto" w:line="256" w:before="0" w:after="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10, 2023</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tbl>
      <w:tblPr>
        <w:tblW w:w="6745" w:type="dxa"/>
        <w:jc w:val="left"/>
        <w:tblInd w:w="0" w:type="dxa"/>
        <w:tblLayout w:type="fixed"/>
        <w:tblCellMar>
          <w:top w:w="0" w:type="dxa"/>
          <w:left w:w="0" w:type="dxa"/>
          <w:bottom w:w="0" w:type="dxa"/>
          <w:right w:w="0" w:type="dxa"/>
        </w:tblCellMar>
      </w:tblPr>
      <w:tblGrid>
        <w:gridCol w:w="6290"/>
        <w:gridCol w:w="455"/>
      </w:tblGrid>
      <w:tr>
        <w:trPr/>
        <w:tc>
          <w:tcPr>
            <w:tcW w:w="629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290" w:type="dxa"/>
            <w:tcBorders/>
            <w:shd w:fill="CCEEFF" w:val="clear"/>
            <w:vAlign w:val="center"/>
          </w:tcPr>
          <w:p>
            <w:pPr>
              <w:pStyle w:val="TableContents"/>
              <w:bidi w:val="0"/>
              <w:spacing w:before="0" w:after="283"/>
              <w:jc w:val="left"/>
              <w:rPr>
                <w:sz w:val="20"/>
              </w:rPr>
            </w:pPr>
            <w:r>
              <w:rPr>
                <w:sz w:val="20"/>
              </w:rPr>
              <w:t xml:space="preserve">ABOUT THIS PROSPECTUS </w:t>
            </w:r>
          </w:p>
        </w:tc>
        <w:tc>
          <w:tcPr>
            <w:tcW w:w="455" w:type="dxa"/>
            <w:tcBorders/>
            <w:shd w:fill="CCEEFF" w:val="clear"/>
            <w:vAlign w:val="center"/>
          </w:tcPr>
          <w:p>
            <w:pPr>
              <w:pStyle w:val="TableContents"/>
              <w:bidi w:val="0"/>
              <w:spacing w:before="0" w:after="283"/>
              <w:jc w:val="right"/>
              <w:rPr>
                <w:sz w:val="20"/>
              </w:rPr>
            </w:pPr>
            <w:r>
              <w:rPr>
                <w:sz w:val="20"/>
              </w:rPr>
              <w:t>1</w:t>
            </w:r>
          </w:p>
        </w:tc>
      </w:tr>
      <w:tr>
        <w:trPr/>
        <w:tc>
          <w:tcPr>
            <w:tcW w:w="6290" w:type="dxa"/>
            <w:tcBorders/>
            <w:shd w:fill="FFFFFF" w:val="clear"/>
            <w:vAlign w:val="center"/>
          </w:tcPr>
          <w:p>
            <w:pPr>
              <w:pStyle w:val="TableContents"/>
              <w:bidi w:val="0"/>
              <w:spacing w:before="0" w:after="283"/>
              <w:jc w:val="left"/>
              <w:rPr>
                <w:sz w:val="20"/>
              </w:rPr>
            </w:pPr>
            <w:r>
              <w:rPr>
                <w:sz w:val="20"/>
              </w:rPr>
              <w:t xml:space="preserve">CAUTIONARY NOTE REGARDING FORWARD-LOOKING STATEMENTS </w:t>
            </w:r>
          </w:p>
        </w:tc>
        <w:tc>
          <w:tcPr>
            <w:tcW w:w="455" w:type="dxa"/>
            <w:tcBorders/>
            <w:shd w:fill="FFFFFF" w:val="clear"/>
            <w:vAlign w:val="center"/>
          </w:tcPr>
          <w:p>
            <w:pPr>
              <w:pStyle w:val="TableContents"/>
              <w:bidi w:val="0"/>
              <w:spacing w:before="0" w:after="283"/>
              <w:jc w:val="right"/>
              <w:rPr>
                <w:sz w:val="20"/>
              </w:rPr>
            </w:pPr>
            <w:r>
              <w:rPr>
                <w:sz w:val="20"/>
              </w:rPr>
              <w:t>1</w:t>
            </w:r>
          </w:p>
        </w:tc>
      </w:tr>
      <w:tr>
        <w:trPr/>
        <w:tc>
          <w:tcPr>
            <w:tcW w:w="6290" w:type="dxa"/>
            <w:tcBorders/>
            <w:shd w:fill="CCEEFF" w:val="clear"/>
            <w:vAlign w:val="center"/>
          </w:tcPr>
          <w:p>
            <w:pPr>
              <w:pStyle w:val="TableContents"/>
              <w:bidi w:val="0"/>
              <w:spacing w:before="0" w:after="283"/>
              <w:jc w:val="left"/>
              <w:rPr>
                <w:sz w:val="20"/>
              </w:rPr>
            </w:pPr>
            <w:r>
              <w:rPr>
                <w:sz w:val="20"/>
              </w:rPr>
              <w:t xml:space="preserve">WHERE YOU CAN FIND MORE INFORMATION </w:t>
            </w:r>
          </w:p>
        </w:tc>
        <w:tc>
          <w:tcPr>
            <w:tcW w:w="455" w:type="dxa"/>
            <w:tcBorders/>
            <w:shd w:fill="CCEEFF" w:val="clear"/>
            <w:vAlign w:val="center"/>
          </w:tcPr>
          <w:p>
            <w:pPr>
              <w:pStyle w:val="TableContents"/>
              <w:bidi w:val="0"/>
              <w:spacing w:before="0" w:after="283"/>
              <w:jc w:val="right"/>
              <w:rPr>
                <w:sz w:val="20"/>
              </w:rPr>
            </w:pPr>
            <w:r>
              <w:rPr>
                <w:sz w:val="20"/>
              </w:rPr>
              <w:t>3</w:t>
            </w:r>
          </w:p>
        </w:tc>
      </w:tr>
      <w:tr>
        <w:trPr/>
        <w:tc>
          <w:tcPr>
            <w:tcW w:w="6290" w:type="dxa"/>
            <w:tcBorders/>
            <w:shd w:fill="FFFFFF" w:val="clear"/>
            <w:vAlign w:val="center"/>
          </w:tcPr>
          <w:p>
            <w:pPr>
              <w:pStyle w:val="TableContents"/>
              <w:bidi w:val="0"/>
              <w:spacing w:before="0" w:after="283"/>
              <w:jc w:val="left"/>
              <w:rPr>
                <w:sz w:val="20"/>
              </w:rPr>
            </w:pPr>
            <w:r>
              <w:rPr>
                <w:sz w:val="20"/>
              </w:rPr>
              <w:t xml:space="preserve">INCORPORATION BY REFERENCE </w:t>
            </w:r>
          </w:p>
        </w:tc>
        <w:tc>
          <w:tcPr>
            <w:tcW w:w="455" w:type="dxa"/>
            <w:tcBorders/>
            <w:shd w:fill="FFFFFF" w:val="clear"/>
            <w:vAlign w:val="center"/>
          </w:tcPr>
          <w:p>
            <w:pPr>
              <w:pStyle w:val="TableContents"/>
              <w:bidi w:val="0"/>
              <w:spacing w:before="0" w:after="283"/>
              <w:jc w:val="right"/>
              <w:rPr>
                <w:sz w:val="20"/>
              </w:rPr>
            </w:pPr>
            <w:r>
              <w:rPr>
                <w:sz w:val="20"/>
              </w:rPr>
              <w:t>4</w:t>
            </w:r>
          </w:p>
        </w:tc>
      </w:tr>
      <w:tr>
        <w:trPr/>
        <w:tc>
          <w:tcPr>
            <w:tcW w:w="6290" w:type="dxa"/>
            <w:tcBorders/>
            <w:shd w:fill="CCEEFF" w:val="clear"/>
            <w:vAlign w:val="center"/>
          </w:tcPr>
          <w:p>
            <w:pPr>
              <w:pStyle w:val="TableContents"/>
              <w:bidi w:val="0"/>
              <w:spacing w:before="0" w:after="283"/>
              <w:jc w:val="left"/>
              <w:rPr>
                <w:sz w:val="20"/>
              </w:rPr>
            </w:pPr>
            <w:r>
              <w:rPr>
                <w:sz w:val="20"/>
              </w:rPr>
              <w:t xml:space="preserve">PROSPECTUS SUMMARY </w:t>
            </w:r>
          </w:p>
        </w:tc>
        <w:tc>
          <w:tcPr>
            <w:tcW w:w="455" w:type="dxa"/>
            <w:tcBorders/>
            <w:shd w:fill="CCEEFF" w:val="clear"/>
            <w:vAlign w:val="center"/>
          </w:tcPr>
          <w:p>
            <w:pPr>
              <w:pStyle w:val="TableContents"/>
              <w:bidi w:val="0"/>
              <w:spacing w:before="0" w:after="283"/>
              <w:jc w:val="right"/>
              <w:rPr>
                <w:sz w:val="20"/>
              </w:rPr>
            </w:pPr>
            <w:r>
              <w:rPr>
                <w:sz w:val="20"/>
              </w:rPr>
              <w:t>5</w:t>
            </w:r>
          </w:p>
        </w:tc>
      </w:tr>
      <w:tr>
        <w:trPr/>
        <w:tc>
          <w:tcPr>
            <w:tcW w:w="6290" w:type="dxa"/>
            <w:tcBorders/>
            <w:shd w:fill="FFFFFF" w:val="clear"/>
            <w:vAlign w:val="center"/>
          </w:tcPr>
          <w:p>
            <w:pPr>
              <w:pStyle w:val="TableContents"/>
              <w:bidi w:val="0"/>
              <w:spacing w:before="0" w:after="283"/>
              <w:jc w:val="left"/>
              <w:rPr>
                <w:sz w:val="20"/>
              </w:rPr>
            </w:pPr>
            <w:r>
              <w:rPr>
                <w:sz w:val="20"/>
              </w:rPr>
              <w:t xml:space="preserve">RISK FACTORS </w:t>
            </w:r>
          </w:p>
        </w:tc>
        <w:tc>
          <w:tcPr>
            <w:tcW w:w="455" w:type="dxa"/>
            <w:tcBorders/>
            <w:shd w:fill="FFFFFF" w:val="clear"/>
            <w:vAlign w:val="center"/>
          </w:tcPr>
          <w:p>
            <w:pPr>
              <w:pStyle w:val="TableContents"/>
              <w:bidi w:val="0"/>
              <w:spacing w:before="0" w:after="283"/>
              <w:jc w:val="right"/>
              <w:rPr>
                <w:sz w:val="20"/>
              </w:rPr>
            </w:pPr>
            <w:r>
              <w:rPr>
                <w:sz w:val="20"/>
              </w:rPr>
              <w:t>7</w:t>
            </w:r>
          </w:p>
        </w:tc>
      </w:tr>
      <w:tr>
        <w:trPr/>
        <w:tc>
          <w:tcPr>
            <w:tcW w:w="6290" w:type="dxa"/>
            <w:tcBorders/>
            <w:shd w:fill="CCEEFF" w:val="clear"/>
            <w:vAlign w:val="center"/>
          </w:tcPr>
          <w:p>
            <w:pPr>
              <w:pStyle w:val="TableContents"/>
              <w:bidi w:val="0"/>
              <w:spacing w:before="0" w:after="283"/>
              <w:jc w:val="left"/>
              <w:rPr>
                <w:sz w:val="20"/>
              </w:rPr>
            </w:pPr>
            <w:r>
              <w:rPr>
                <w:sz w:val="20"/>
              </w:rPr>
              <w:t xml:space="preserve">USE OF PROCEEDS </w:t>
            </w:r>
          </w:p>
        </w:tc>
        <w:tc>
          <w:tcPr>
            <w:tcW w:w="455" w:type="dxa"/>
            <w:tcBorders/>
            <w:shd w:fill="CCEEFF" w:val="clear"/>
            <w:vAlign w:val="center"/>
          </w:tcPr>
          <w:p>
            <w:pPr>
              <w:pStyle w:val="TableContents"/>
              <w:bidi w:val="0"/>
              <w:spacing w:before="0" w:after="283"/>
              <w:jc w:val="right"/>
              <w:rPr>
                <w:sz w:val="20"/>
              </w:rPr>
            </w:pPr>
            <w:r>
              <w:rPr>
                <w:sz w:val="20"/>
              </w:rPr>
              <w:t>8</w:t>
            </w:r>
          </w:p>
        </w:tc>
      </w:tr>
      <w:tr>
        <w:trPr/>
        <w:tc>
          <w:tcPr>
            <w:tcW w:w="6290" w:type="dxa"/>
            <w:tcBorders/>
            <w:shd w:fill="FFFFFF" w:val="clear"/>
            <w:vAlign w:val="center"/>
          </w:tcPr>
          <w:p>
            <w:pPr>
              <w:pStyle w:val="TableContents"/>
              <w:bidi w:val="0"/>
              <w:spacing w:before="0" w:after="283"/>
              <w:jc w:val="left"/>
              <w:rPr>
                <w:sz w:val="20"/>
              </w:rPr>
            </w:pPr>
            <w:r>
              <w:rPr>
                <w:sz w:val="20"/>
              </w:rPr>
              <w:t xml:space="preserve">GENERAL DESCRIPTION OF SECURITIES </w:t>
            </w:r>
          </w:p>
        </w:tc>
        <w:tc>
          <w:tcPr>
            <w:tcW w:w="455" w:type="dxa"/>
            <w:tcBorders/>
            <w:shd w:fill="FFFFFF" w:val="clear"/>
            <w:vAlign w:val="center"/>
          </w:tcPr>
          <w:p>
            <w:pPr>
              <w:pStyle w:val="TableContents"/>
              <w:bidi w:val="0"/>
              <w:spacing w:before="0" w:after="283"/>
              <w:jc w:val="right"/>
              <w:rPr>
                <w:sz w:val="20"/>
              </w:rPr>
            </w:pPr>
            <w:r>
              <w:rPr>
                <w:sz w:val="20"/>
              </w:rPr>
              <w:t>9</w:t>
            </w:r>
          </w:p>
        </w:tc>
      </w:tr>
      <w:tr>
        <w:trPr/>
        <w:tc>
          <w:tcPr>
            <w:tcW w:w="6290" w:type="dxa"/>
            <w:tcBorders/>
            <w:shd w:fill="CCEEFF" w:val="clear"/>
            <w:vAlign w:val="center"/>
          </w:tcPr>
          <w:p>
            <w:pPr>
              <w:pStyle w:val="TableContents"/>
              <w:bidi w:val="0"/>
              <w:spacing w:before="0" w:after="283"/>
              <w:jc w:val="left"/>
              <w:rPr>
                <w:sz w:val="20"/>
              </w:rPr>
            </w:pPr>
            <w:r>
              <w:rPr>
                <w:sz w:val="20"/>
              </w:rPr>
              <w:t xml:space="preserve">DESCRIPTION OF CAPITAL STOCK </w:t>
            </w:r>
          </w:p>
        </w:tc>
        <w:tc>
          <w:tcPr>
            <w:tcW w:w="455" w:type="dxa"/>
            <w:tcBorders/>
            <w:shd w:fill="CCEEFF" w:val="clear"/>
            <w:vAlign w:val="center"/>
          </w:tcPr>
          <w:p>
            <w:pPr>
              <w:pStyle w:val="TableContents"/>
              <w:bidi w:val="0"/>
              <w:spacing w:before="0" w:after="283"/>
              <w:jc w:val="right"/>
              <w:rPr>
                <w:sz w:val="20"/>
              </w:rPr>
            </w:pPr>
            <w:r>
              <w:rPr>
                <w:sz w:val="20"/>
              </w:rPr>
              <w:t>10</w:t>
            </w:r>
          </w:p>
        </w:tc>
      </w:tr>
      <w:tr>
        <w:trPr/>
        <w:tc>
          <w:tcPr>
            <w:tcW w:w="6290" w:type="dxa"/>
            <w:tcBorders/>
            <w:shd w:fill="FFFFFF" w:val="clear"/>
            <w:vAlign w:val="center"/>
          </w:tcPr>
          <w:p>
            <w:pPr>
              <w:pStyle w:val="TableContents"/>
              <w:bidi w:val="0"/>
              <w:spacing w:before="0" w:after="283"/>
              <w:jc w:val="left"/>
              <w:rPr>
                <w:sz w:val="20"/>
              </w:rPr>
            </w:pPr>
            <w:r>
              <w:rPr>
                <w:sz w:val="20"/>
              </w:rPr>
              <w:t xml:space="preserve">DESCRIPTION OF DEBT SECURITIES </w:t>
            </w:r>
          </w:p>
        </w:tc>
        <w:tc>
          <w:tcPr>
            <w:tcW w:w="455" w:type="dxa"/>
            <w:tcBorders/>
            <w:shd w:fill="FFFFFF" w:val="clear"/>
            <w:vAlign w:val="center"/>
          </w:tcPr>
          <w:p>
            <w:pPr>
              <w:pStyle w:val="TableContents"/>
              <w:bidi w:val="0"/>
              <w:spacing w:before="0" w:after="283"/>
              <w:jc w:val="right"/>
              <w:rPr>
                <w:sz w:val="20"/>
              </w:rPr>
            </w:pPr>
            <w:r>
              <w:rPr>
                <w:sz w:val="20"/>
              </w:rPr>
              <w:t>14</w:t>
            </w:r>
          </w:p>
        </w:tc>
      </w:tr>
      <w:tr>
        <w:trPr/>
        <w:tc>
          <w:tcPr>
            <w:tcW w:w="6290" w:type="dxa"/>
            <w:tcBorders/>
            <w:shd w:fill="CCEEFF" w:val="clear"/>
            <w:vAlign w:val="center"/>
          </w:tcPr>
          <w:p>
            <w:pPr>
              <w:pStyle w:val="TableContents"/>
              <w:bidi w:val="0"/>
              <w:spacing w:before="0" w:after="283"/>
              <w:jc w:val="left"/>
              <w:rPr>
                <w:sz w:val="20"/>
              </w:rPr>
            </w:pPr>
            <w:r>
              <w:rPr>
                <w:sz w:val="20"/>
              </w:rPr>
              <w:t xml:space="preserve">PLAN OF DISTRIBUTION </w:t>
            </w:r>
          </w:p>
        </w:tc>
        <w:tc>
          <w:tcPr>
            <w:tcW w:w="455" w:type="dxa"/>
            <w:tcBorders/>
            <w:shd w:fill="CCEEFF" w:val="clear"/>
            <w:vAlign w:val="center"/>
          </w:tcPr>
          <w:p>
            <w:pPr>
              <w:pStyle w:val="TableContents"/>
              <w:bidi w:val="0"/>
              <w:spacing w:before="0" w:after="283"/>
              <w:jc w:val="right"/>
              <w:rPr>
                <w:sz w:val="20"/>
              </w:rPr>
            </w:pPr>
            <w:r>
              <w:rPr>
                <w:sz w:val="20"/>
              </w:rPr>
              <w:t>22</w:t>
            </w:r>
          </w:p>
        </w:tc>
      </w:tr>
      <w:tr>
        <w:trPr/>
        <w:tc>
          <w:tcPr>
            <w:tcW w:w="6290" w:type="dxa"/>
            <w:tcBorders/>
            <w:shd w:fill="FFFFFF" w:val="clear"/>
            <w:vAlign w:val="center"/>
          </w:tcPr>
          <w:p>
            <w:pPr>
              <w:pStyle w:val="TableContents"/>
              <w:bidi w:val="0"/>
              <w:spacing w:before="0" w:after="283"/>
              <w:jc w:val="left"/>
              <w:rPr>
                <w:sz w:val="20"/>
              </w:rPr>
            </w:pPr>
            <w:r>
              <w:rPr>
                <w:sz w:val="20"/>
              </w:rPr>
              <w:t xml:space="preserve">LEGAL MATTERS </w:t>
            </w:r>
          </w:p>
        </w:tc>
        <w:tc>
          <w:tcPr>
            <w:tcW w:w="455" w:type="dxa"/>
            <w:tcBorders/>
            <w:shd w:fill="FFFFFF" w:val="clear"/>
            <w:vAlign w:val="center"/>
          </w:tcPr>
          <w:p>
            <w:pPr>
              <w:pStyle w:val="TableContents"/>
              <w:bidi w:val="0"/>
              <w:spacing w:before="0" w:after="283"/>
              <w:jc w:val="right"/>
              <w:rPr>
                <w:sz w:val="20"/>
              </w:rPr>
            </w:pPr>
            <w:r>
              <w:rPr>
                <w:sz w:val="20"/>
              </w:rPr>
              <w:t>25</w:t>
            </w:r>
          </w:p>
        </w:tc>
      </w:tr>
      <w:tr>
        <w:trPr/>
        <w:tc>
          <w:tcPr>
            <w:tcW w:w="6290" w:type="dxa"/>
            <w:tcBorders/>
            <w:shd w:fill="CCEEFF" w:val="clear"/>
            <w:vAlign w:val="center"/>
          </w:tcPr>
          <w:p>
            <w:pPr>
              <w:pStyle w:val="TableContents"/>
              <w:bidi w:val="0"/>
              <w:spacing w:before="0" w:after="283"/>
              <w:jc w:val="left"/>
              <w:rPr>
                <w:sz w:val="20"/>
              </w:rPr>
            </w:pPr>
            <w:r>
              <w:rPr>
                <w:sz w:val="20"/>
              </w:rPr>
              <w:t xml:space="preserve">EXPERTS </w:t>
            </w:r>
          </w:p>
        </w:tc>
        <w:tc>
          <w:tcPr>
            <w:tcW w:w="455" w:type="dxa"/>
            <w:tcBorders/>
            <w:shd w:fill="CCEEFF" w:val="clear"/>
            <w:vAlign w:val="center"/>
          </w:tcPr>
          <w:p>
            <w:pPr>
              <w:pStyle w:val="TableContents"/>
              <w:bidi w:val="0"/>
              <w:spacing w:before="0" w:after="283"/>
              <w:jc w:val="right"/>
              <w:rPr>
                <w:sz w:val="20"/>
              </w:rPr>
            </w:pPr>
            <w:r>
              <w:rPr>
                <w:sz w:val="20"/>
              </w:rPr>
              <w:t>26</w:t>
            </w:r>
          </w:p>
        </w:tc>
      </w:tr>
    </w:tbl>
    <w:p>
      <w:pPr>
        <w:pStyle w:val="TextBody"/>
        <w:bidi w:val="0"/>
        <w:jc w:val="left"/>
        <w:rPr>
          <w:caps w:val="false"/>
          <w:smallCaps w:val="false"/>
        </w:rPr>
      </w:pPr>
      <w:r>
        <w:rPr>
          <w:caps w:val="false"/>
          <w:smallCaps w:val="false"/>
        </w:rPr>
        <w:t> </w:t>
      </w:r>
    </w:p>
    <w:p>
      <w:pPr>
        <w:pStyle w:val="TextBody"/>
        <w:bidi w:val="0"/>
        <w:spacing w:lineRule="auto" w:line="256" w:before="0" w:after="18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pStyle w:val="TextBody"/>
        <w:bidi w:val="0"/>
        <w:spacing w:lineRule="auto" w:line="256" w:before="0" w:after="18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15" w:name="a_014"/>
      <w:bookmarkEnd w:id="15"/>
      <w:r>
        <w:rPr>
          <w:rFonts w:ascii="Times New Roman;Times;Serif" w:hAnsi="Times New Roman;Times;Serif"/>
          <w:b/>
          <w:sz w:val="20"/>
        </w:rPr>
        <w:t>ABOUT THIS PROSPECTUS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This prospectus is part of a registration statement on Form S-3 that we have filed with the Securities and Exchange Commission (the “SEC”) using a “shelf” registration process.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Under this process, we may sell the securities described in this prospectus in one or more offerings for an aggregate offering amount of up to $50,000,000, subject to the Baby Shelf Limitation.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This prospectus, together with any accompanying prospectus supplement and any additional information incorporated by reference herein and therein,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Times;Serif" w:hAnsi="Times New Roman;Times;Serif"/>
          <w:i/>
          <w:sz w:val="20"/>
        </w:rPr>
        <w:t>Where You Can Find More Information</w:t>
      </w:r>
      <w:r>
        <w:rPr>
          <w:rFonts w:ascii="Times New Roman;Times;Serif" w:hAnsi="Times New Roman;Times;Serif"/>
          <w:sz w:val="20"/>
        </w:rPr>
        <w:t>” and “</w:t>
      </w:r>
      <w:r>
        <w:rPr>
          <w:rFonts w:ascii="Times New Roman;Times;Serif" w:hAnsi="Times New Roman;Times;Serif"/>
          <w:i/>
          <w:sz w:val="20"/>
        </w:rPr>
        <w:t>Incorporation By Reference</w:t>
      </w:r>
      <w:r>
        <w:rPr>
          <w:rFonts w:ascii="Times New Roman;Times;Serif" w:hAnsi="Times New Roman;Times;Serif"/>
          <w:sz w:val="20"/>
        </w:rPr>
        <w:t>” in both this prospectus and any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of this prospectus entitled “</w:t>
      </w:r>
      <w:r>
        <w:rPr>
          <w:rFonts w:ascii="Times New Roman;Times;Serif" w:hAnsi="Times New Roman;Times;Serif"/>
          <w:i/>
          <w:sz w:val="20"/>
        </w:rPr>
        <w:t>Incorporation By Reference.</w:t>
      </w:r>
      <w:r>
        <w:rPr>
          <w:rFonts w:ascii="Times New Roman;Times;Serif" w:hAnsi="Times New Roman;Times;Serif"/>
          <w:sz w:val="20"/>
        </w:rPr>
        <w:t>”</w:t>
      </w:r>
    </w:p>
    <w:p>
      <w:pPr>
        <w:pStyle w:val="TextBody"/>
        <w:bidi w:val="0"/>
        <w:spacing w:before="0" w:after="180"/>
        <w:jc w:val="center"/>
        <w:rPr>
          <w:rFonts w:ascii="Times New Roman;Times;Serif" w:hAnsi="Times New Roman;Times;Serif"/>
          <w:b/>
          <w:sz w:val="20"/>
        </w:rPr>
      </w:pPr>
      <w:r>
        <w:rPr>
          <w:rFonts w:ascii="Times New Roman;Times;Serif" w:hAnsi="Times New Roman;Times;Serif"/>
          <w:b/>
          <w:sz w:val="20"/>
        </w:rPr>
        <w:t xml:space="preserve">SELECTED DEFINITIONS </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Unless otherwise stated in this prospectus or the context otherwise requires, reference to:</w:t>
      </w:r>
    </w:p>
    <w:p>
      <w:pPr>
        <w:pStyle w:val="TextBody"/>
        <w:bidi w:val="0"/>
        <w:spacing w:before="0" w:after="180"/>
        <w:ind w:left="0" w:right="0" w:firstLine="360"/>
        <w:jc w:val="left"/>
        <w:rPr/>
      </w:pPr>
      <w:r>
        <w:rPr/>
        <w:t>“</w:t>
      </w:r>
      <w:r>
        <w:rPr>
          <w:rFonts w:ascii="Times New Roman;Times;Serif" w:hAnsi="Times New Roman;Times;Serif"/>
          <w:i/>
          <w:sz w:val="20"/>
        </w:rPr>
        <w:t>Articles of Incorporation</w:t>
      </w:r>
      <w:r>
        <w:rPr>
          <w:rFonts w:ascii="Times New Roman;Times;Serif" w:hAnsi="Times New Roman;Times;Serif"/>
          <w:sz w:val="20"/>
        </w:rPr>
        <w:t>” means the articles of incorporation of Expion360.</w:t>
      </w:r>
    </w:p>
    <w:p>
      <w:pPr>
        <w:pStyle w:val="TextBody"/>
        <w:bidi w:val="0"/>
        <w:spacing w:before="0" w:after="180"/>
        <w:ind w:left="0" w:right="0" w:firstLine="360"/>
        <w:jc w:val="left"/>
        <w:rPr/>
      </w:pPr>
      <w:r>
        <w:rPr/>
        <w:t>“</w:t>
      </w:r>
      <w:r>
        <w:rPr>
          <w:rFonts w:ascii="Times New Roman;Times;Serif" w:hAnsi="Times New Roman;Times;Serif"/>
          <w:i/>
          <w:sz w:val="20"/>
        </w:rPr>
        <w:t>Bylaws</w:t>
      </w:r>
      <w:r>
        <w:rPr>
          <w:rFonts w:ascii="Times New Roman;Times;Serif" w:hAnsi="Times New Roman;Times;Serif"/>
          <w:sz w:val="20"/>
        </w:rPr>
        <w:t>” means the bylaws of Expion360.</w:t>
      </w:r>
    </w:p>
    <w:p>
      <w:pPr>
        <w:pStyle w:val="TextBody"/>
        <w:bidi w:val="0"/>
        <w:spacing w:before="0" w:after="180"/>
        <w:ind w:left="0" w:right="0" w:firstLine="360"/>
        <w:jc w:val="left"/>
        <w:rPr/>
      </w:pPr>
      <w:r>
        <w:rPr/>
        <w:t>“</w:t>
      </w:r>
      <w:r>
        <w:rPr>
          <w:rFonts w:ascii="Times New Roman;Times;Serif" w:hAnsi="Times New Roman;Times;Serif"/>
          <w:i/>
          <w:sz w:val="20"/>
        </w:rPr>
        <w:t>common stock</w:t>
      </w:r>
      <w:r>
        <w:rPr>
          <w:rFonts w:ascii="Times New Roman;Times;Serif" w:hAnsi="Times New Roman;Times;Serif"/>
          <w:sz w:val="20"/>
        </w:rPr>
        <w:t>” means the shares of common stock, par value $0.001 per share, of Expion360.</w:t>
      </w:r>
    </w:p>
    <w:p>
      <w:pPr>
        <w:pStyle w:val="TextBody"/>
        <w:bidi w:val="0"/>
        <w:spacing w:before="0" w:after="180"/>
        <w:ind w:left="0" w:right="0" w:firstLine="360"/>
        <w:jc w:val="left"/>
        <w:rPr/>
      </w:pPr>
      <w:r>
        <w:rPr/>
        <w:t>“</w:t>
      </w:r>
      <w:r>
        <w:rPr>
          <w:rFonts w:ascii="Times New Roman;Times;Serif" w:hAnsi="Times New Roman;Times;Serif"/>
          <w:i/>
          <w:sz w:val="20"/>
        </w:rPr>
        <w:t>Exchange Act</w:t>
      </w:r>
      <w:r>
        <w:rPr>
          <w:rFonts w:ascii="Times New Roman;Times;Serif" w:hAnsi="Times New Roman;Times;Serif"/>
          <w:sz w:val="20"/>
        </w:rPr>
        <w:t>” means the Securities Exchange Act of 1934, as amended.</w:t>
      </w:r>
    </w:p>
    <w:p>
      <w:pPr>
        <w:pStyle w:val="TextBody"/>
        <w:bidi w:val="0"/>
        <w:spacing w:before="0" w:after="180"/>
        <w:ind w:left="0" w:right="0" w:firstLine="360"/>
        <w:jc w:val="left"/>
        <w:rPr/>
      </w:pPr>
      <w:r>
        <w:rPr/>
        <w:t>“</w:t>
      </w:r>
      <w:r>
        <w:rPr>
          <w:rFonts w:ascii="Times New Roman;Times;Serif" w:hAnsi="Times New Roman;Times;Serif"/>
          <w:i/>
          <w:sz w:val="20"/>
        </w:rPr>
        <w:t>Expion360</w:t>
      </w:r>
      <w:r>
        <w:rPr>
          <w:rFonts w:ascii="Times New Roman;Times;Serif" w:hAnsi="Times New Roman;Times;Serif"/>
          <w:sz w:val="20"/>
        </w:rPr>
        <w:t>”, the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and “</w:t>
      </w:r>
      <w:r>
        <w:rPr>
          <w:rFonts w:ascii="Times New Roman;Times;Serif" w:hAnsi="Times New Roman;Times;Serif"/>
          <w:i/>
          <w:sz w:val="20"/>
        </w:rPr>
        <w:t>our</w:t>
      </w:r>
      <w:r>
        <w:rPr>
          <w:rFonts w:ascii="Times New Roman;Times;Serif" w:hAnsi="Times New Roman;Times;Serif"/>
          <w:sz w:val="20"/>
        </w:rPr>
        <w:t>” means Expion360 Inc., a Nevada corporation.</w:t>
      </w:r>
    </w:p>
    <w:p>
      <w:pPr>
        <w:pStyle w:val="TextBody"/>
        <w:bidi w:val="0"/>
        <w:spacing w:before="0" w:after="180"/>
        <w:ind w:left="0" w:right="0" w:firstLine="360"/>
        <w:jc w:val="left"/>
        <w:rPr/>
      </w:pPr>
      <w:r>
        <w:rPr/>
        <w:t>“</w:t>
      </w:r>
      <w:r>
        <w:rPr>
          <w:rFonts w:ascii="Times New Roman;Times;Serif" w:hAnsi="Times New Roman;Times;Serif"/>
          <w:i/>
          <w:sz w:val="20"/>
        </w:rPr>
        <w:t>SEC</w:t>
      </w:r>
      <w:r>
        <w:rPr>
          <w:rFonts w:ascii="Times New Roman;Times;Serif" w:hAnsi="Times New Roman;Times;Serif"/>
          <w:sz w:val="20"/>
        </w:rPr>
        <w:t>” means the Securities and Exchange Commission.</w:t>
      </w:r>
    </w:p>
    <w:p>
      <w:pPr>
        <w:pStyle w:val="TextBody"/>
        <w:bidi w:val="0"/>
        <w:spacing w:before="0" w:after="180"/>
        <w:ind w:left="0" w:right="0" w:firstLine="360"/>
        <w:jc w:val="left"/>
        <w:rPr/>
      </w:pPr>
      <w:r>
        <w:rPr/>
        <w:t>“</w:t>
      </w:r>
      <w:r>
        <w:rPr>
          <w:rFonts w:ascii="Times New Roman;Times;Serif" w:hAnsi="Times New Roman;Times;Serif"/>
          <w:i/>
          <w:sz w:val="20"/>
        </w:rPr>
        <w:t>Securities Act</w:t>
      </w:r>
      <w:r>
        <w:rPr>
          <w:rFonts w:ascii="Times New Roman;Times;Serif" w:hAnsi="Times New Roman;Times;Serif"/>
          <w:sz w:val="20"/>
        </w:rPr>
        <w:t>” means the Securities Act of 1933, as amended.</w:t>
      </w:r>
    </w:p>
    <w:p>
      <w:pPr>
        <w:pStyle w:val="TextBody"/>
        <w:bidi w:val="0"/>
        <w:spacing w:before="0" w:after="240"/>
        <w:jc w:val="center"/>
        <w:rPr>
          <w:rFonts w:ascii="Times New Roman;Times;Serif" w:hAnsi="Times New Roman;Times;Serif"/>
          <w:b/>
          <w:caps/>
          <w:sz w:val="20"/>
        </w:rPr>
      </w:pPr>
      <w:bookmarkStart w:id="16" w:name="a_015"/>
      <w:bookmarkEnd w:id="16"/>
      <w:r>
        <w:rPr>
          <w:rFonts w:ascii="Times New Roman;Times;Serif" w:hAnsi="Times New Roman;Times;Serif"/>
          <w:b/>
          <w:caps/>
          <w:sz w:val="20"/>
        </w:rPr>
        <w:t>CAUTIONARY NOTE REGARDING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prospectus, together with any accompanying prospectus supplement, and the documents incorporated by reference herein or therein may include “forward-looking statements” within the meaning of Section 27A of the Securities Act and Section 21E of the Exchange Act. All statements in this prospectus, together with any accompanying prospectus supplement, and the documents incorporated by reference herein or therein, other than statements of historical fact, are “forward-looking statements” for purposes of these provisions, including, without limitation, any projections regarding the markets where we operate, any statements of the plans and objectives of our management for future operations, any statements concerning proposed new products or services, any statements regarding expected capital expenditures, any statements regarding future economic conditions or performance, and any statements of assumptions underlying any of the foregoing. All forward-looking statements included in this prospectus and the documents incorporated by reference herein are made as of the date hereof or thereof, as applicable, and are based on information available to us as of such dates. We assume no obligation to update any forward-looking statement. In some cases, forward-looking statements can be identified by the use of terminology such as “may,” “will,” “expects,” “plans,” “should,” “anticipates,” “intends,” “seeks,” “believes,” “estimates,” “potential,” “forecasts,” “continue,” or other forms of these words or similar words or expressions, or the negative thereof or other comparable terminology. Although we believe that the expectations reflected in the forward-looking statements contained herein are reasonable, there can be no assurance that such expectations or any of the forward-looking statements will prove to be correct. Actual results will likely differ, and could differ materially, from those projected or assumed in the forward-looking statements. Prospective investors are cautioned not to unduly rely on any such forward-looking statements.</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before="0" w:after="12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120"/>
        <w:jc w:val="left"/>
        <w:rPr/>
      </w:pPr>
      <w:r>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operate in an extremely competitive industry and are subject to pricing pressures.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losses and our audited financial statements include a statement that there is a substantial doubt about our ability to continue as a going concern. As our costs increase, we may not be able to generate sufficient revenue to achieve and sustain profitability.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and future growth depends on the needs and success of our customers, and we have substantial customer concentration.</w:t>
            </w:r>
          </w:p>
        </w:tc>
      </w:tr>
    </w:tbl>
    <w:p>
      <w:pPr>
        <w:pStyle w:val="TextBody"/>
        <w:bidi w:val="0"/>
        <w:spacing w:before="0" w:after="283"/>
        <w:jc w:val="left"/>
        <w:rPr/>
      </w:pPr>
      <w:r>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successfully manage our growth.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negatively impacted by public health epidemics or outbreaks, including the novel coronavirus (“COVID-19”) as well as uncertainty in global economic conditions.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fail to expand our sales and distribution channels and our ability to expend into international markets is uncertain.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Nearly all of our raw materials enter the United States through a limited number of ports, and we rely on third parties to store and ship some of our inventory; labor unrest at these ports or other product delivery difficulties could interfere with our distribution plans and reduce our revenue.</w:t>
            </w:r>
          </w:p>
        </w:tc>
      </w:tr>
    </w:tbl>
    <w:p>
      <w:pPr>
        <w:pStyle w:val="TextBody"/>
        <w:bidi w:val="0"/>
        <w:spacing w:before="0" w:after="283"/>
        <w:jc w:val="left"/>
        <w:rPr/>
      </w:pPr>
      <w:r>
        <w:rPr/>
        <w:t> </w:t>
      </w:r>
    </w:p>
    <w:tbl>
      <w:tblPr>
        <w:tblW w:w="8170" w:type="dxa"/>
        <w:jc w:val="left"/>
        <w:tblInd w:w="0" w:type="dxa"/>
        <w:tblLayout w:type="fixed"/>
        <w:tblCellMar>
          <w:top w:w="0" w:type="dxa"/>
          <w:left w:w="0" w:type="dxa"/>
          <w:bottom w:w="0" w:type="dxa"/>
          <w:right w:w="0" w:type="dxa"/>
        </w:tblCellMar>
      </w:tblPr>
      <w:tblGrid>
        <w:gridCol w:w="75"/>
        <w:gridCol w:w="170"/>
        <w:gridCol w:w="7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 reviews, inquiries, investigations, and actions could harm our business or reputation.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dependent on third-party manufacturers and suppliers, including suppliers located outside the United States, and our operating results could be adversely affected by changes in the cost and availability of raw materials as well as increases in costs, disruption of supply, or shortage of any of our battery components, such as electronic and mechanical parts, or raw materials used in the production of such parts.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rely on two warehouse facilities and if any of our facilities becomes inoperable for any reason or if our expansion plans fail, our ability to produce our products could be negatively impacted.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Lithium-ion battery cells have been observed to catch fire or release smoke and flame, which may have a negative impact on our reputation and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could face potential product liability claims relating to our products, which could result in significant costs and liabilities, which would reduce our profitability.</w:t>
            </w:r>
          </w:p>
        </w:tc>
      </w:tr>
    </w:tbl>
    <w:p>
      <w:pPr>
        <w:pStyle w:val="TextBody"/>
        <w:bidi w:val="0"/>
        <w:spacing w:before="0" w:after="283"/>
        <w:jc w:val="left"/>
        <w:rPr/>
      </w:pPr>
      <w:r>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operations expose us to litigation, tax, environmental, and other legal compliance risks.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introduce new products and product enhancements and broad market acceptance of new technologies introduced by our competitors could adversely affect our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adequately protect our proprietary intellectual property and technology and we may need to defend ourselves against intellectual property infringement claims.</w:t>
            </w:r>
          </w:p>
        </w:tc>
      </w:tr>
    </w:tbl>
    <w:p>
      <w:pPr>
        <w:pStyle w:val="TextBody"/>
        <w:bidi w:val="0"/>
        <w:spacing w:before="0" w:after="283"/>
        <w:jc w:val="left"/>
        <w:rPr/>
      </w:pPr>
      <w:r>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Quality problems with our products could harm our reputation and erode our competitive position.</w:t>
            </w:r>
          </w:p>
        </w:tc>
      </w:tr>
    </w:tbl>
    <w:p>
      <w:pPr>
        <w:pStyle w:val="TextBody"/>
        <w:bidi w:val="0"/>
        <w:spacing w:before="0" w:after="283"/>
        <w:jc w:val="left"/>
        <w:rPr/>
      </w:pPr>
      <w:r>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capital in the future may be limited and our stockholders may be diluted by future securities offerings.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depend on our senior management team and other key employees, and significant attrition within our management team or unsuccessful succession planning could adversely affect our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an “emerging growth company” and elect to comply with certain reduced reporting requirements applicable to emerging growth companies, which could make our securities less attractive to investors.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factors as discussed under “Risk Factors” herein and in the documents incorporated by reference herein, including our latest Annual Report on Form 10-K.</w:t>
            </w:r>
          </w:p>
        </w:tc>
      </w:tr>
    </w:tbl>
    <w:p>
      <w:pPr>
        <w:pStyle w:val="TextBody"/>
        <w:bidi w:val="0"/>
        <w:ind w:left="0" w:right="0" w:firstLine="720"/>
        <w:jc w:val="both"/>
        <w:rPr/>
      </w:pPr>
      <w:r>
        <w:rPr/>
        <w:t>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All forward-looking statements attributable to us or persons acting on our behalf are expressly qualified in their entirety by these cautionary statements. Our actual results will likely differ, and may differ materially, from anticipated results. Financial estimates are subject to change and are not intended to be relied upon as predictions of future operating results, and we assume no obligation to update or disclose revisions to those estimates. If we do update or correct one or more forward-looking statements, investors and others should not conclude that we will make additional updates or corrections.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17" w:name="a_016"/>
      <w:bookmarkEnd w:id="17"/>
      <w:r>
        <w:rPr>
          <w:rFonts w:ascii="Times New Roman;Times;Serif" w:hAnsi="Times New Roman;Times;Serif"/>
          <w:b/>
          <w:sz w:val="20"/>
        </w:rPr>
        <w:t>WHERE YOU CAN FIND MORE INFORMATION</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have filed with the SEC a registration statement on Form S-3, including exhibits, under the Securities Act with respect to the securities offered by this prospectus and any applicable prospectus supplement. This prospectus and the applicable prospectus supplement, which constitutes part of the registration statement, does not contain all of the information in the registration statement and its exhibits. For further information with respect to Expion360 and the securities offered by this prospectus and any applicable prospectus supplement, we refer you to the registration statement and its exhibits. Statements contained in this prospectus and any applicable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at the SEC’s website at www.sec.gov.</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are subject to the information reporting requirements of the Exchange Act, and we are required to file reports, proxy statements and other information with the SEC. These reports, proxy statements and other information will be available for review at the SEC’s website referred to above. We also maintain a website at www.expion360.com, at which you may access these materials free of charge as soon as reasonably practicable after they are electronically filed with, or furnished to, the SEC. Information contained on or accessible through our website is not a part of this prospectus or any prospectus supplement, and the inclusion of our website address in this prospectus or any prospectus supplement is an inactive textual reference only.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18" w:name="a_017"/>
      <w:bookmarkEnd w:id="18"/>
      <w:r>
        <w:rPr>
          <w:rFonts w:ascii="Times New Roman;Times;Serif" w:hAnsi="Times New Roman;Times;Serif"/>
          <w:b/>
          <w:sz w:val="20"/>
        </w:rPr>
        <w:t>INCORPORATION BY REFERENCE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SEC’s rules allow us to “incorporate by reference” information into this prospectus and any applicable prospectus supplement, which means that we can disclose important information to you by referring you to another document filed separately with the SEC. The information incorporated by reference is deemed to be part of this prospectus and any applicable prospectus supplement, and subsequent information that we file with the SEC will automatically update and supersede that information. Any statement contained in this prospectus or any applicable prospectus supplement or a previously filed document incorporated by reference will be deemed to be modified or superseded for purposes of this prospectus or any applicable prospectus supplement to the extent that a statement contained in this prospectus or any applicable prospectus supplement or a subsequently filed document incorporated by reference modifies or replaces that statement.</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This prospectus and any applicable prospectus supplement incorporate by reference the documents set forth below that have previously been filed with the SEC:</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pPr>
            <w:r>
              <w:rPr>
                <w:rFonts w:ascii="Times New Roman;Times;Serif" w:hAnsi="Times New Roman;Times;Serif"/>
                <w:sz w:val="20"/>
              </w:rPr>
              <w:t xml:space="preserve">Our Annual Report on </w:t>
            </w:r>
            <w:hyperlink r:id="rId4">
              <w:r>
                <w:rPr>
                  <w:rStyle w:val="InternetLink"/>
                  <w:rFonts w:ascii="Times New Roman;Times;Serif" w:hAnsi="Times New Roman;Times;Serif"/>
                  <w:color w:val="0000FF"/>
                  <w:sz w:val="20"/>
                </w:rPr>
                <w:t>Form 10-K</w:t>
              </w:r>
            </w:hyperlink>
            <w:r>
              <w:rPr>
                <w:rFonts w:ascii="Times New Roman;Times;Serif" w:hAnsi="Times New Roman;Times;Serif"/>
                <w:sz w:val="20"/>
              </w:rPr>
              <w:t xml:space="preserve"> for the year ended December 31, 2022, filed with the SEC on March 30, 2023; </w:t>
            </w:r>
          </w:p>
        </w:tc>
      </w:tr>
    </w:tbl>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pPr>
            <w:r>
              <w:rPr>
                <w:rFonts w:ascii="Times New Roman;Times;Serif" w:hAnsi="Times New Roman;Times;Serif"/>
                <w:sz w:val="20"/>
              </w:rPr>
              <w:t xml:space="preserve">Our Quarterly Report on </w:t>
            </w:r>
            <w:hyperlink r:id="rId5">
              <w:r>
                <w:rPr>
                  <w:rStyle w:val="InternetLink"/>
                  <w:rFonts w:ascii="Times New Roman;Times;Serif" w:hAnsi="Times New Roman;Times;Serif"/>
                  <w:sz w:val="20"/>
                </w:rPr>
                <w:t>Form 10-Q</w:t>
              </w:r>
            </w:hyperlink>
            <w:r>
              <w:rPr>
                <w:rFonts w:ascii="Times New Roman;Times;Serif" w:hAnsi="Times New Roman;Times;Serif"/>
                <w:sz w:val="20"/>
              </w:rPr>
              <w:t xml:space="preserve"> for the period ended March 31, 2023, filed with the SEC on May 11, 2023;   </w:t>
            </w:r>
          </w:p>
        </w:tc>
      </w:tr>
    </w:tbl>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left"/>
              <w:rPr/>
            </w:pPr>
            <w:r>
              <w:rPr>
                <w:rFonts w:ascii="Times New Roman;Times;Serif" w:hAnsi="Times New Roman;Times;Serif"/>
                <w:sz w:val="20"/>
              </w:rPr>
              <w:t xml:space="preserve">Our Current Report on </w:t>
            </w:r>
            <w:hyperlink r:id="rId6">
              <w:r>
                <w:rPr>
                  <w:rStyle w:val="InternetLink"/>
                  <w:rFonts w:ascii="Times New Roman;Times;Serif" w:hAnsi="Times New Roman;Times;Serif"/>
                  <w:sz w:val="20"/>
                </w:rPr>
                <w:t>Form 8-K</w:t>
              </w:r>
            </w:hyperlink>
            <w:r>
              <w:rPr>
                <w:rFonts w:ascii="Times New Roman;Times;Serif" w:hAnsi="Times New Roman;Times;Serif"/>
                <w:sz w:val="20"/>
              </w:rPr>
              <w:t xml:space="preserve"> filed with the SEC on February 1, 2023;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sz w:val="20"/>
              </w:rPr>
              <w:t xml:space="preserve">The description of the common stock contained in our registration statement on </w:t>
            </w:r>
            <w:hyperlink r:id="rId7">
              <w:r>
                <w:rPr>
                  <w:rStyle w:val="InternetLink"/>
                  <w:rFonts w:ascii="Times New Roman;Times;Serif" w:hAnsi="Times New Roman;Times;Serif"/>
                  <w:color w:val="0000FF"/>
                  <w:sz w:val="20"/>
                </w:rPr>
                <w:t>Form 8-A</w:t>
              </w:r>
            </w:hyperlink>
            <w:r>
              <w:rPr>
                <w:rFonts w:ascii="Times New Roman;Times;Serif" w:hAnsi="Times New Roman;Times;Serif"/>
                <w:sz w:val="20"/>
              </w:rPr>
              <w:t xml:space="preserve"> (File No. 001-41347), filed with the SEC on March 31, 2022, pursuant to Section 12 of the Exchange Act, as updated by </w:t>
            </w:r>
            <w:hyperlink r:id="rId8">
              <w:r>
                <w:rPr>
                  <w:rStyle w:val="InternetLink"/>
                  <w:rFonts w:ascii="Times New Roman;Times;Serif" w:hAnsi="Times New Roman;Times;Serif"/>
                  <w:color w:val="0000FF"/>
                  <w:sz w:val="20"/>
                </w:rPr>
                <w:t>Exhibit 4.4</w:t>
              </w:r>
            </w:hyperlink>
            <w:r>
              <w:rPr>
                <w:rFonts w:ascii="Times New Roman;Times;Serif" w:hAnsi="Times New Roman;Times;Serif"/>
                <w:sz w:val="20"/>
              </w:rPr>
              <w:t xml:space="preserve"> to our Annual Report on Form 10-K for the year ended December 31, 2022 filed with the SEC on March 30, 2023.</w:t>
            </w:r>
          </w:p>
        </w:tc>
      </w:tr>
    </w:tbl>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or any applicable prospectus supplement and deemed to be part of this prospectus or any applicable prospectus supplement from the date of the filing of such reports and documents. Under no circumstances shall any information furnished under Item 2.02, 7.01 or 9.01 of Form 8-K be deemed incorporated herein by reference unless such Form 8-K expressly provides to the contrary.</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19" w:name="a_018"/>
      <w:bookmarkEnd w:id="19"/>
      <w:r>
        <w:rPr>
          <w:rFonts w:ascii="Times New Roman;Times;Serif" w:hAnsi="Times New Roman;Times;Serif"/>
          <w:b/>
          <w:sz w:val="20"/>
        </w:rPr>
        <w:t>PROSPECTUS SUMMARY</w:t>
      </w:r>
    </w:p>
    <w:p>
      <w:pPr>
        <w:pStyle w:val="TextBody"/>
        <w:bidi w:val="0"/>
        <w:spacing w:before="0" w:after="180"/>
        <w:ind w:left="0" w:right="0" w:firstLine="360"/>
        <w:jc w:val="both"/>
        <w:rPr>
          <w:rFonts w:ascii="Times New Roman;Times;Serif" w:hAnsi="Times New Roman;Times;Serif"/>
          <w:i/>
          <w:sz w:val="20"/>
        </w:rPr>
      </w:pPr>
      <w:r>
        <w:rPr>
          <w:rFonts w:ascii="Times New Roman;Times;Serif" w:hAnsi="Times New Roman;Times;Serif"/>
          <w:i/>
          <w:sz w:val="20"/>
        </w:rPr>
        <w:t xml:space="preserve">The following summary highlights information contained in greater details elsewhere in this prospectus or incorporated by reference into this prospectus. This summary is not complete and does not contain all of the information you should consider in making your investment decision. You should read the entire prospectus, any applicable prospectus supplement and the documents we have incorporated by reference in this prospectus carefully before making an investment in our securities. You should carefully consider, among other things, our financial statements and related notes and the information set forth in the section entitled “Risk Factors” and other information incorporated by reference into this prospectus from our filings with the SEC. See also the sections entitled “Where You Can Find More Information” and “Incorporation By Reference.” </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Expion360 Inc. (the “Company,” “Expion360”, “we,” “us” or “our”) focuses on the design, assembly, manufacturing, and sales of lithium iron phosphate (LiFePO4) batteries and supporting accessories for recreational vehicles (“RVs”) and marine applications with plans to expand into home energy storage products and industrial applications. We design, assemble, and distribute high-powered, lithium battery solutions using ground-breaking concepts with a creative sales and marketing approach. We believe that our product offerings include some of the most dense and minimal-footprint batteries in the RV &amp; Marine industry. We are developing the e360 Home Energy Storage: a system that we expect to significantly change the industry in barrier price, flexibility, and integration. We are deploying multiple IP strategies with cutting-edge research and unique products to sustain and scale the business. We currently have customers consisting of dealers, wholesalers, private label customers and original equipment manufacturers who are driving revenue and brand awareness nationally.</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Our corporate headquarters are based in Redmond, Oregon, with assembly in the United States and suppliers based in Asia and Europe. We are currently in the process of building out manufacturing capacity at our corporate headquarters. Our long-term target is to onshore the manufacturing of most of our components and assemblies, including cell manufacturing, to the United States.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Our main target markets are currently the RV &amp; Marine industry. We believe that we are well positioned to capitalize on the rapid market conversion from lead-acid to lithium batteries as the primary method of power sourcing in these industries. Additional focus markets include home energy storage, where we aim to provide a cost-effective, low barrier of entry, and a do-it-yourself (“DIY”) flexible system for those looking to power their homes via solar energy, wind, or grid back-up. Along with RV/Marine and home energy storage markets, we aim to provide additional capacities to the ever-expanding electric forklift and industrial material handling markets.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Expion360’s e360 product line, which is manufactured for the RV/Marine industry, was launched in December 2020. The e360 product line, through its rapid sales growth, has shown to be a preferred conversion solution for lead-acid batteries. We believe that our e360 Home Energy Storage system has strong revenue potential with recurring income opportunities for us and our associated sales partners.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Our products provide numerous advantages for various industries that are looking to migrate to lithium-based energy storage. They incorporate detailed-oriented design and engineering and strong case materials and internal and structural layouts, and are backed by responsive customer service.</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Expion360 Inc. was initially organized as a limited liability company under the name Yozamp Products Company, LLC in the State of Oregon on June 16, 2016, and converted to a Nevada corporation under its current name pursuant to articles of conversion dated as of November 16, 2021.</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Our website is https://expion360.com/ and on the Investor Relations section of our website, we post or will post, as applicable, the following filings as soon as reasonably practicable after they are electronically filed with or furnished to the Securities and Exchange Commission (“SEC”): our Annual Report on Form 10-K (the “Annual Report”), our Proxy Statement on Schedule 14A, our Quarterly Reports on Form 10-Q, our Current Reports on Form 8-K and any amendments to those reports filed or furnished pursuant to Section 13(a) or 15(d) of the Securities Exchange Act of 1934, as amended.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All of the information on our Investor Relations web page is available to be viewed free of charge. Information contained on our website is not part of this prospectus or our other filings with the SEC. We assume no obligation to update or revise any forward-looking statements in this prospectus whether as a result of new information, future events or otherwise, unless we are required to do so by law.</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SEC also maintains a website (www.sec.gov) that contains reports, proxy and information statements and other information regarding issuers that file electronically with the SEC.</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20" w:name="a_019"/>
      <w:bookmarkEnd w:id="20"/>
      <w:r>
        <w:rPr>
          <w:rFonts w:ascii="Times New Roman;Times;Serif" w:hAnsi="Times New Roman;Times;Serif"/>
          <w:b/>
          <w:sz w:val="20"/>
        </w:rPr>
        <w:t>RISK FACTORS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Investment in the securities offered pursuant to this prospectus and any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or incorporated by reference into any applicable prospectus supplement before acquiring any of such securities.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contained or incorporated by reference into this prospectus and in any applicable prospectus supplement.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21" w:name="a_020"/>
      <w:bookmarkEnd w:id="21"/>
      <w:r>
        <w:rPr>
          <w:rFonts w:ascii="Times New Roman;Times;Serif" w:hAnsi="Times New Roman;Times;Serif"/>
          <w:b/>
          <w:sz w:val="20"/>
        </w:rPr>
        <w:t>USE OF PROCEEDS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Unless otherwise described in any applicable prospectus supplement, we intend to use the net proceeds from the sale of any securities described in this prospectus for general corporate purposes.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22" w:name="a_021"/>
      <w:bookmarkEnd w:id="22"/>
      <w:r>
        <w:rPr>
          <w:rFonts w:ascii="Times New Roman;Times;Serif" w:hAnsi="Times New Roman;Times;Serif"/>
          <w:b/>
          <w:sz w:val="20"/>
        </w:rPr>
        <w:t>GENERAL DESCRIPTION OF SECURITIES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may offer shares of common stock or preferred stock, various series of senior or subordinated debt securities or warrants to purchase any of the foregoing, in each case from time to time under this prospectus, together with any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tbl>
      <w:tblPr>
        <w:tblW w:w="2643" w:type="dxa"/>
        <w:jc w:val="left"/>
        <w:tblInd w:w="0" w:type="dxa"/>
        <w:tblLayout w:type="fixed"/>
        <w:tblCellMar>
          <w:top w:w="0" w:type="dxa"/>
          <w:left w:w="0" w:type="dxa"/>
          <w:bottom w:w="0" w:type="dxa"/>
          <w:right w:w="0" w:type="dxa"/>
        </w:tblCellMar>
      </w:tblPr>
      <w:tblGrid>
        <w:gridCol w:w="38"/>
        <w:gridCol w:w="17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designation or classification; </w:t>
            </w:r>
          </w:p>
        </w:tc>
      </w:tr>
    </w:tbl>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aggregate principal amount or aggregate offering price; </w:t>
            </w:r>
          </w:p>
        </w:tc>
      </w:tr>
    </w:tbl>
    <w:tbl>
      <w:tblPr>
        <w:tblW w:w="2073" w:type="dxa"/>
        <w:jc w:val="left"/>
        <w:tblInd w:w="0" w:type="dxa"/>
        <w:tblLayout w:type="fixed"/>
        <w:tblCellMar>
          <w:top w:w="0" w:type="dxa"/>
          <w:left w:w="0" w:type="dxa"/>
          <w:bottom w:w="0" w:type="dxa"/>
          <w:right w:w="0" w:type="dxa"/>
        </w:tblCellMar>
      </w:tblPr>
      <w:tblGrid>
        <w:gridCol w:w="38"/>
        <w:gridCol w:w="17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voting or other rights; </w:t>
            </w:r>
          </w:p>
        </w:tc>
      </w:tr>
    </w:tbl>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rates and times of payment of interest, dividends or other payments; </w:t>
            </w:r>
          </w:p>
        </w:tc>
      </w:tr>
    </w:tbl>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liquidation preference; </w:t>
            </w:r>
          </w:p>
        </w:tc>
      </w:tr>
    </w:tbl>
    <w:tbl>
      <w:tblPr>
        <w:tblW w:w="2193" w:type="dxa"/>
        <w:jc w:val="left"/>
        <w:tblInd w:w="0" w:type="dxa"/>
        <w:tblLayout w:type="fixed"/>
        <w:tblCellMar>
          <w:top w:w="0" w:type="dxa"/>
          <w:left w:w="0" w:type="dxa"/>
          <w:bottom w:w="0" w:type="dxa"/>
          <w:right w:w="0" w:type="dxa"/>
        </w:tblCellMar>
      </w:tblPr>
      <w:tblGrid>
        <w:gridCol w:w="38"/>
        <w:gridCol w:w="17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original issue discount; </w:t>
            </w:r>
          </w:p>
        </w:tc>
      </w:tr>
    </w:tbl>
    <w:tbl>
      <w:tblPr>
        <w:tblW w:w="1038" w:type="dxa"/>
        <w:jc w:val="left"/>
        <w:tblInd w:w="0" w:type="dxa"/>
        <w:tblLayout w:type="fixed"/>
        <w:tblCellMar>
          <w:top w:w="0" w:type="dxa"/>
          <w:left w:w="0" w:type="dxa"/>
          <w:bottom w:w="0" w:type="dxa"/>
          <w:right w:w="0" w:type="dxa"/>
        </w:tblCellMar>
      </w:tblPr>
      <w:tblGrid>
        <w:gridCol w:w="38"/>
        <w:gridCol w:w="17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maturity; </w:t>
            </w:r>
          </w:p>
        </w:tc>
      </w:tr>
    </w:tbl>
    <w:tbl>
      <w:tblPr>
        <w:tblW w:w="978" w:type="dxa"/>
        <w:jc w:val="left"/>
        <w:tblInd w:w="0" w:type="dxa"/>
        <w:tblLayout w:type="fixed"/>
        <w:tblCellMar>
          <w:top w:w="0" w:type="dxa"/>
          <w:left w:w="0" w:type="dxa"/>
          <w:bottom w:w="0" w:type="dxa"/>
          <w:right w:w="0" w:type="dxa"/>
        </w:tblCellMar>
      </w:tblPr>
      <w:tblGrid>
        <w:gridCol w:w="38"/>
        <w:gridCol w:w="170"/>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ranking; </w:t>
            </w:r>
          </w:p>
        </w:tc>
      </w:tr>
    </w:tbl>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restrictive covenants;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any securities exchange or market listing arrangements; and </w:t>
            </w:r>
          </w:p>
        </w:tc>
      </w:tr>
    </w:tbl>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important U.S. federal income tax considerations.</w:t>
            </w:r>
          </w:p>
        </w:tc>
      </w:tr>
    </w:tbl>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may sell the securities to or through underwriters, dealers or agents, directly to purchasers or through a combination of any of these methods of sale or as otherwise set forth under “</w:t>
      </w:r>
      <w:r>
        <w:rPr>
          <w:rFonts w:ascii="Times New Roman;Times;Serif" w:hAnsi="Times New Roman;Times;Serif"/>
          <w:i/>
          <w:sz w:val="20"/>
        </w:rPr>
        <w:t>Plan of Distribution</w:t>
      </w:r>
      <w:r>
        <w:rPr>
          <w:rFonts w:ascii="Times New Roman;Times;Serif" w:hAnsi="Times New Roman;Times;Serif"/>
          <w:sz w:val="20"/>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following descriptions are not complete and may not contain all the information you should consider before investing in any securities we may offer hereunder; they are summarized from, and qualified by reference to, our articles of incorporation, bylaws and the other documents referred to in herein, all of which are or will be publicly filed with the SEC, as applicable. See “</w:t>
      </w:r>
      <w:r>
        <w:rPr>
          <w:rFonts w:ascii="Times New Roman;Times;Serif" w:hAnsi="Times New Roman;Times;Serif"/>
          <w:i/>
          <w:sz w:val="20"/>
        </w:rPr>
        <w:t>Where You Can Find More Information</w:t>
      </w:r>
      <w:r>
        <w:rPr>
          <w:rFonts w:ascii="Times New Roman;Times;Serif" w:hAnsi="Times New Roman;Times;Serif"/>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sz w:val="20"/>
        </w:rPr>
      </w:pPr>
      <w:bookmarkStart w:id="23" w:name="a_022"/>
      <w:bookmarkEnd w:id="23"/>
      <w:r>
        <w:rPr>
          <w:rFonts w:ascii="Times New Roman;Times;Serif" w:hAnsi="Times New Roman;Times;Serif"/>
          <w:b/>
          <w:sz w:val="20"/>
        </w:rPr>
        <w:t>DESCRIPTION OF CAPITAL STOCK</w:t>
      </w:r>
      <w:r>
        <w:rPr>
          <w:rFonts w:ascii="Times New Roman;Times;Serif" w:hAnsi="Times New Roman;Times;Serif"/>
          <w:sz w:val="20"/>
        </w:rPr>
        <w:t>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Expion360 has one class of securities registered under Section 12 of the Securities Exchange Act: the Company’s common stock, par value $0.001 per share (the “common stock”).</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following description of our capital stock is a summary of the rights of our capital stock and summarizes certain provisions of our certificate of incorporation and our bylaws. This summary does not purport to be complete and is qualified in its entirety by the provisions of our certificate of incorporation and bylaws, copies of which have been filed as exhibits to the registration statement of which this prospectus forms a part, as well as to the applicable provisions of Nevada law.</w:t>
      </w:r>
    </w:p>
    <w:p>
      <w:pPr>
        <w:pStyle w:val="TextBody"/>
        <w:bidi w:val="0"/>
        <w:spacing w:before="0" w:after="180"/>
        <w:jc w:val="both"/>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Our authorized capital stock consists of 200,000,000 shares of common stock, par value $0.001 per share and 20,000,000 shares of preferred stock, par value $0.001 per share.</w:t>
      </w:r>
    </w:p>
    <w:p>
      <w:pPr>
        <w:pStyle w:val="TextBody"/>
        <w:bidi w:val="0"/>
        <w:spacing w:before="0" w:after="18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the board of directors out of funds legally available for that purpose, subject to any preferential dividend rights of any outstanding preferred stock. Our common stock has no preemptive rights, conversion rights or other subscription rights or redemption or sinking fund provisions. We currently do not have any shares of, or securities convertible into, preferred stock outstanding.</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pStyle w:val="TextBody"/>
        <w:bidi w:val="0"/>
        <w:spacing w:before="0" w:after="180"/>
        <w:jc w:val="both"/>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180"/>
        <w:jc w:val="both"/>
        <w:rPr>
          <w:rFonts w:ascii="Times New Roman;Times;Serif" w:hAnsi="Times New Roman;Times;Serif"/>
          <w:b/>
          <w:i/>
          <w:sz w:val="20"/>
        </w:rPr>
      </w:pPr>
      <w:r>
        <w:rPr>
          <w:rFonts w:ascii="Times New Roman;Times;Serif" w:hAnsi="Times New Roman;Times;Serif"/>
          <w:b/>
          <w:i/>
          <w:sz w:val="20"/>
        </w:rPr>
        <w:t>$2.90 Warrants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On November 9, 2021, the Company issued warrants to purchase 151,000 of shares of the Company’s common stock with an exercise price of $2.90 per share (the “$2.90 Warrants”). The $2.90 Warrants are exercisable for a period of 3 years from date of grant. If holders of the $2.90 Warrants elect to exercise them on a cashless basis, they would pay the exercise price by surrendering their $2.90 Warrants for that number of shares of common stock equal to the quotient obtained by dividing (x) the difference between the “fair market value” (defined below) multiplied by the number of shares underlying such holder’s $2.90 Warrants and the exercise price multiplied by the number of shares underlying such holder’s $2.90 Warrants by (y) the fair market value. The “fair market value” shall mean the prior five-day average closing price of the common stock on the date on which the holder elects to exercise their $2.90 Warrants. The $2.90 Warrants have certain adjustment rights upon certain events.</w:t>
      </w:r>
    </w:p>
    <w:p>
      <w:pPr>
        <w:pStyle w:val="TextBody"/>
        <w:bidi w:val="0"/>
        <w:spacing w:before="0" w:after="180"/>
        <w:jc w:val="both"/>
        <w:rPr>
          <w:rFonts w:ascii="Times New Roman;Times;Serif" w:hAnsi="Times New Roman;Times;Serif"/>
          <w:b/>
          <w:i/>
          <w:sz w:val="20"/>
        </w:rPr>
      </w:pPr>
      <w:r>
        <w:rPr>
          <w:rFonts w:ascii="Times New Roman;Times;Serif" w:hAnsi="Times New Roman;Times;Serif"/>
          <w:b/>
          <w:i/>
          <w:sz w:val="20"/>
        </w:rPr>
        <w:t>$3.32 Warrants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On November 22, 2021, the Company issued warrants to purchase 559,431 shares of the Company’s common stock at an exercise price of $3.32 per share (the “$3.32 Warrants”). The $3.32 Warrants are exercisable for a period of 10 years from date of grant. If holders of the $3.32 Warrants elect to exercise them on a cashless basis, they would pay the exercise price by surrendering their $3.32 Warrants for that number of shares of common stock equal to the quotient obtained by dividing (x) the difference between the “fair market value” (defined below) multiplied by the number of shares underlying such holder’s $3.32 Warrants and the exercise price multiplied by the number of shares underlying such holder’s $3.32 Warrants by (y) the fair market value. The “fair market value” shall mean the volume weighted average of the closing sales price of the common stock averaged over 20 consecutive trading days ending on the trading day prior to the date on which “fair market value” is determined. The $3.32 Warrants have certain adjustment rights upon certain events. The Company is required to cause a registration statement registering the resale of the shares of our common stock issuable upon exercise of the $3.32 Warrants to become effective in connection with its initial public offering. As of the date of this prospectus, the Company has an effective registration statement which satisfies this requirement.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120"/>
        <w:jc w:val="left"/>
        <w:rPr/>
      </w:pPr>
      <w:r>
        <w:rPr/>
        <w:t> </w:t>
      </w:r>
    </w:p>
    <w:p>
      <w:pPr>
        <w:pStyle w:val="TextBody"/>
        <w:bidi w:val="0"/>
        <w:spacing w:before="0" w:after="180"/>
        <w:jc w:val="both"/>
        <w:rPr>
          <w:rFonts w:ascii="Times New Roman;Times;Serif" w:hAnsi="Times New Roman;Times;Serif"/>
          <w:b/>
          <w:i/>
          <w:sz w:val="20"/>
        </w:rPr>
      </w:pPr>
      <w:r>
        <w:rPr>
          <w:rFonts w:ascii="Times New Roman;Times;Serif" w:hAnsi="Times New Roman;Times;Serif"/>
          <w:b/>
          <w:i/>
          <w:sz w:val="20"/>
        </w:rPr>
        <w:t>Underwriter Warrants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Concurrent with the closing of the initial public offering, the Company issued warrants to purchase an aggregate of 128,700 shares of its common stock to Alexander Capital LP and Paulson Investment Company LLC (as apportioned in accordance with agreements amongst them), or their designees, at an exercise price of $9.10 per share (the “Underwriter Warrants”). The Underwriter Warrants are initially exercisable on September 27, 2022 and expire on March 31, 2027.</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If there is not an effective registration statement registering the resale of the shares of common stock issuable upon exercise of the Underwriter Warrants, holders of the Underwriter Warrants may elect to exercise them on a cashless basis and pay the exercise price by surrendering their Underwriter Warrants for that number of shares of common stock equal to the quotient obtained by dividing (x) the product of the number of shares of common stock underlying the Underwriter Warrants, multiplied by the difference between (i) the daily volume weighted average price of the common stock on the trading day immediately preceding the date of the exercise notice or on the date of the exercise notice (if delivered after regular trading hours) and (ii) the exercise price of the Underwriter Warrants and by (y) the daily volume weighted average price of the common stock on the trading day immediately preceding the date of the exercise notice or on the date of the exercise notice (if delivered after regular trading hours). If the Company does not deliver common stock to a holder upon such holder’s exercise of their Underwriter Warrants in compliance with the timing set out in the Underwriter Warrants, the Company will have to pay cash to such holder in accordance with the terms of the Underwriter Warrants. The Underwriter Warrants include anti-dilution provisions (for stock dividends, splits and recapitalizations and similar transactions), which results in the adjustment of the exercise price and entitles holders of the Underwriter Warrants to participate in subsequent rights offerings or distributions to holders of the Company’s common stock, as applicable. The Underwriter Warrants also have certain adjustment rights upon certain events. Further, the Underwriter Warrants provide for a one-time demand registration right, exercisable until March 31, 2027 and unlimited piggyback rights, exercisable until September 27, 2024.</w:t>
      </w:r>
    </w:p>
    <w:p>
      <w:pPr>
        <w:pStyle w:val="TextBody"/>
        <w:bidi w:val="0"/>
        <w:spacing w:before="0" w:after="180"/>
        <w:jc w:val="both"/>
        <w:rPr>
          <w:rFonts w:ascii="Times New Roman;Times;Serif" w:hAnsi="Times New Roman;Times;Serif"/>
          <w:b/>
          <w:sz w:val="20"/>
        </w:rPr>
      </w:pPr>
      <w:r>
        <w:rPr>
          <w:rFonts w:ascii="Times New Roman;Times;Serif" w:hAnsi="Times New Roman;Times;Serif"/>
          <w:b/>
          <w:sz w:val="20"/>
        </w:rPr>
        <w:t>Options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Prior to our initial public offering, we issued options to purchase 30,000 shares of common stock granted to one individual which had an exercise price of $3.32.</w:t>
      </w:r>
    </w:p>
    <w:p>
      <w:pPr>
        <w:pStyle w:val="TextBody"/>
        <w:bidi w:val="0"/>
        <w:spacing w:before="0" w:after="180"/>
        <w:jc w:val="both"/>
        <w:rPr>
          <w:rFonts w:ascii="Times New Roman;Times;Serif" w:hAnsi="Times New Roman;Times;Serif"/>
          <w:b/>
          <w:sz w:val="20"/>
        </w:rPr>
      </w:pPr>
      <w:r>
        <w:rPr>
          <w:rFonts w:ascii="Times New Roman;Times;Serif" w:hAnsi="Times New Roman;Times;Serif"/>
          <w:b/>
          <w:sz w:val="20"/>
        </w:rPr>
        <w:t>Anti-Takeover Effects of Provisions of Our Charter Documents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provisions of Nevada law and our Bylaws may have the effect of delaying, deferring or preventing another party from acquiring control of the company. These provisions may discourage and prevent coercive takeover practices and inadequate takeover bids.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120"/>
        <w:jc w:val="left"/>
        <w:rPr/>
      </w:pPr>
      <w:r>
        <w:rPr/>
        <w:t> </w:t>
      </w:r>
    </w:p>
    <w:p>
      <w:pPr>
        <w:pStyle w:val="TextBody"/>
        <w:bidi w:val="0"/>
        <w:spacing w:before="0" w:after="180"/>
        <w:jc w:val="both"/>
        <w:rPr>
          <w:rFonts w:ascii="Times New Roman;Times;Serif" w:hAnsi="Times New Roman;Times;Serif"/>
          <w:b/>
          <w:i/>
          <w:sz w:val="20"/>
        </w:rPr>
      </w:pPr>
      <w:r>
        <w:rPr>
          <w:rFonts w:ascii="Times New Roman;Times;Serif" w:hAnsi="Times New Roman;Times;Serif"/>
          <w:b/>
          <w:i/>
          <w:sz w:val="20"/>
        </w:rPr>
        <w:t>Nevada Law</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Our Articles of Incorporation include a mandatory forum provision that, to the fullest extent permitted by law, the Nevada Eighth Judicial District of Clark County Nevada shall be the sole and exclusive forum for (a) any derivative action or proceeding brought in the name or right of the Company or on its behalf, (b) any action asserting a claim for breach of any fiduciary duty owed by any director, officer, employee or agent of the Company to the Company or the Company's stockholders, (c) any action arising or asserting a claim arising pursuant to any provision of NRS Chapters 78 or 92Aor any provision of the Articles of Incorporation or Bylaws, (d) any action to interpret, apply, enforce or determine the validity of the Articles of Incorporation or Bylaws or (e)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rules and regulations thereunder and would preempt the choice of forum provisions in our Articles of Incorporation with respect to such matters.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At this time, we do not believe we have 100 stockholders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stockholders.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120"/>
        <w:jc w:val="left"/>
        <w:rPr/>
      </w:pPr>
      <w:r>
        <w:rPr/>
        <w:t>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pStyle w:val="TextBody"/>
        <w:bidi w:val="0"/>
        <w:spacing w:before="0" w:after="180"/>
        <w:jc w:val="both"/>
        <w:rPr>
          <w:rFonts w:ascii="Times New Roman;Times;Serif" w:hAnsi="Times New Roman;Times;Serif"/>
          <w:b/>
          <w:i/>
          <w:sz w:val="20"/>
        </w:rPr>
      </w:pPr>
      <w:r>
        <w:rPr>
          <w:rFonts w:ascii="Times New Roman;Times;Serif" w:hAnsi="Times New Roman;Times;Serif"/>
          <w:b/>
          <w:i/>
          <w:sz w:val="20"/>
        </w:rPr>
        <w:t>Articles of Incorporation and Bylaws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pStyle w:val="TextBody"/>
        <w:bidi w:val="0"/>
        <w:spacing w:before="0" w:after="180"/>
        <w:jc w:val="both"/>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transfer agent and registrar for our common shares is Pacific Stock Transfer Company. Pacific Stock Transfer Company’s address and phone number is: 6725 Via Austi Pkwy, Suite 300, Las Vegas, Nevada 89119; telephone number (800) 785-7782.</w:t>
      </w:r>
    </w:p>
    <w:p>
      <w:pPr>
        <w:pStyle w:val="TextBody"/>
        <w:bidi w:val="0"/>
        <w:spacing w:before="0" w:after="180"/>
        <w:jc w:val="both"/>
        <w:rPr>
          <w:rFonts w:ascii="Times New Roman;Times;Serif" w:hAnsi="Times New Roman;Times;Serif"/>
          <w:b/>
          <w:sz w:val="20"/>
        </w:rPr>
      </w:pPr>
      <w:r>
        <w:rPr>
          <w:rFonts w:ascii="Times New Roman;Times;Serif" w:hAnsi="Times New Roman;Times;Serif"/>
          <w:b/>
          <w:sz w:val="20"/>
        </w:rPr>
        <w:t>Listing</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Our common stock has been traded on The Nasdaq Capital Market under the symbol “XPON” since April 1, 2022.</w:t>
      </w:r>
    </w:p>
    <w:p>
      <w:pPr>
        <w:pStyle w:val="TextBody"/>
        <w:bidi w:val="0"/>
        <w:spacing w:before="0" w:after="18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24" w:name="a_023"/>
      <w:bookmarkEnd w:id="24"/>
      <w:r>
        <w:rPr>
          <w:rFonts w:ascii="Times New Roman;Times;Serif" w:hAnsi="Times New Roman;Times;Serif"/>
          <w:b/>
          <w:sz w:val="20"/>
        </w:rPr>
        <w:t>DESCRIPTION OF DEBT SECURITIES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indenture does not limit the amount of debt securities that we may issue. It provides that we may issue debt securities up to the principal amount that we may authorize and that the debt securities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describe in the applicable prospectus supplement the terms of the series of debt securities being offered, including:</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the series of debt securities;</w:t>
            </w:r>
          </w:p>
        </w:tc>
      </w:tr>
    </w:tbl>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limit upon the aggregate principal amount that may be issued;</w:t>
            </w:r>
          </w:p>
        </w:tc>
      </w:tr>
    </w:tbl>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maturity date or dates;</w:t>
            </w:r>
          </w:p>
        </w:tc>
      </w:tr>
    </w:tbl>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form of the debt securities of the series;</w:t>
            </w:r>
          </w:p>
        </w:tc>
      </w:tr>
    </w:tbl>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applicability of any guarantees;</w:t>
            </w:r>
          </w:p>
        </w:tc>
      </w:tr>
    </w:tbl>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or not the debt securities will be secured or unsecured, and the terms of any secured debt;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debt securities rank as senior debt, senior subordinated debt, subordinated debt or any combination thereof, and the terms of any subordination;</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tc>
      </w:tr>
    </w:tbl>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right, if any, to defer payment of interest and the maximum length of any such deferral period;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denominations in which we will issue the series of debt securities, if other than denominations of $1,000 and any integral multiple thereof;</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tc>
      </w:tr>
    </w:tbl>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debt securities of the series shall be issued in whole or in part in the form of a global security or securities;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and conditions, if any, upon which such global security or securities may be exchanged in whole or in part for other individual securities; and the depositary for such global security or securities;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other than the full principal amount thereof, the portion of the principal amount of debt securities of the series which shall be payable upon declaration of acceleration of the maturity thereof;</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or changes in the covenants applicable to the particular debt securities being issued, including, among others, the consolidation, merger or sale covenant;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or changes in the events of default with respect to the securities and any change in the right of the trustee or the holders to declare the principal, premium, if any, and interest, if any, with respect to such securities to be due and payable;</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or changes in or deletions of the provisions relating to covenant defeasance and legal defeasance;</w:t>
            </w:r>
          </w:p>
        </w:tc>
      </w:tr>
    </w:tbl>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or changes in the provisions relating to satisfaction and discharge of the indenture;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or changes in the provisions relating to the modification of the indenture both with and without the consent of holders of debt securities issued under the indenture;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currency of payment of debt securities if other than U.S. dollars and the manner of determining the equivalent amount in U.S. dollars;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interest will be payable in cash or additional debt securities at our or the holders’ option and the terms and conditions upon which the election may be made;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and conditions, if any, upon which we will pay amounts in addition to the stated interest, premium, if any and principal amounts of the debt securities of the series to any holder that is not a “United States person” for federal tax purposes;</w:t>
            </w:r>
          </w:p>
        </w:tc>
      </w:tr>
    </w:tbl>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restrictions on transfer, sale or assignment of the debt securities of the series;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tc>
      </w:tr>
    </w:tbl>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Conversion or Exchange Rights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Consolidation, Merger or Sale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Events of Default Under the Indenture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Unless we provide otherwise in the prospectus supplement applicable to a particular series of debt securities, the following are events of default under the indenture with respect to any series of debt securities that we may issue:</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tc>
      </w:tr>
    </w:tbl>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specified events of bankruptcy, insolvency or reorganization occur.</w:t>
            </w:r>
          </w:p>
        </w:tc>
      </w:tr>
    </w:tbl>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direction so given by the holder is not in conflict with any law or the applicable indenture;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 holder of the debt securities of any series will have the right to institute a proceeding under the indenture or to appoint a receiver or trustee, or to seek other remedies only if:</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has given written notice to the trustee of a continuing event of default with respect to that series;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at least 25% in aggregate principal amount of the outstanding debt securities of that series have made written request;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holders have offered to the trustee indemnity satisfactory to it against the costs, expenses and liabilities to be incurred by the trustee in compliance with the request;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These limitations do not apply to a suit instituted by a holder of debt securities if we default in the payment of the principal, premium, if any, or interest on, the debt securities.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periodically file statements with the trustee regarding our compliance with specified covenants in the indenture.</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Modification of Indenture; Waiver</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and the trustee may change an indenture without the consent of any holders with respect to specific matters:</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 defect or inconsistency in the indenture or in the debt securities of any series;</w:t>
            </w:r>
          </w:p>
        </w:tc>
      </w:tr>
    </w:tbl>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comply with the provisions described above under “Description of Debt Securities—Consolidation, Merger or Sale;”</w:t>
            </w:r>
          </w:p>
        </w:tc>
      </w:tr>
    </w:tbl>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for uncertificated debt securities in addition to or in place of certificated debt securities;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add to, delete from or revise the conditions, limitations, and restrictions on the authorized amount, terms, or purposes of issue, authentication and delivery of debt securities, as set forth in the indenture;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any change that does not adversely affect the interests of any holder of debt securities of any series in any material respect;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tc>
      </w:tr>
    </w:tbl>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evidence and provide for the acceptance of appointment under any indenture by a successor trustee;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comply with any requirements of the SEC in connection with the qualification of any indenture under the Trust Indenture Act.</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extending the fixed maturity of any debt securities of any series;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principal amount, reducing the rate of or extending the time of payment of interest, or reducing any premium payable upon the redemption of any series of any debt securities;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percentage of debt securities, the holders of which are required to consent to any amendment, supplement, modification or waiver.</w:t>
            </w:r>
          </w:p>
        </w:tc>
      </w:tr>
    </w:tbl>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Discharge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Each indenture provides that we can elect to be discharged from our obligations with respect to one or more series of debt securities, except for specified obligations, including obligations to:</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for payment;</w:t>
            </w:r>
          </w:p>
        </w:tc>
      </w:tr>
    </w:tbl>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the transfer or exchange of debt securities of the series;</w:t>
            </w:r>
          </w:p>
        </w:tc>
      </w:tr>
    </w:tbl>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replace stolen, lost or mutilated debt securities of the series;</w:t>
            </w:r>
          </w:p>
        </w:tc>
      </w:tr>
    </w:tbl>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 principal of and premium and interest on any debt securities of the series;</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maintain paying agencies;</w:t>
            </w:r>
          </w:p>
        </w:tc>
      </w:tr>
    </w:tbl>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 monies for payment in trust;</w:t>
            </w:r>
          </w:p>
        </w:tc>
      </w:tr>
    </w:tbl>
    <w:tbl>
      <w:tblPr>
        <w:tblW w:w="3618" w:type="dxa"/>
        <w:jc w:val="left"/>
        <w:tblInd w:w="0" w:type="dxa"/>
        <w:tblLayout w:type="fixed"/>
        <w:tblCellMar>
          <w:top w:w="0" w:type="dxa"/>
          <w:left w:w="0" w:type="dxa"/>
          <w:bottom w:w="0" w:type="dxa"/>
          <w:right w:w="0" w:type="dxa"/>
        </w:tblCellMar>
      </w:tblPr>
      <w:tblGrid>
        <w:gridCol w:w="38"/>
        <w:gridCol w:w="17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recover excess money held by the trustee;</w:t>
            </w:r>
          </w:p>
        </w:tc>
      </w:tr>
    </w:tbl>
    <w:tbl>
      <w:tblPr>
        <w:tblW w:w="3723" w:type="dxa"/>
        <w:jc w:val="left"/>
        <w:tblInd w:w="0" w:type="dxa"/>
        <w:tblLayout w:type="fixed"/>
        <w:tblCellMar>
          <w:top w:w="0" w:type="dxa"/>
          <w:left w:w="0" w:type="dxa"/>
          <w:bottom w:w="0" w:type="dxa"/>
          <w:right w:w="0" w:type="dxa"/>
        </w:tblCellMar>
      </w:tblPr>
      <w:tblGrid>
        <w:gridCol w:w="38"/>
        <w:gridCol w:w="170"/>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compensate and indemnify the trustee; and</w:t>
            </w:r>
          </w:p>
        </w:tc>
      </w:tr>
    </w:tbl>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 any successor trustee.</w:t>
            </w:r>
          </w:p>
        </w:tc>
      </w:tr>
    </w:tbl>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Form, Exchange and Transfer</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If we elect to redeem the debt securities of any series, we will not be required to:</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Information Concerning the Trustee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Payment and Paying Agents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Unless we otherwise indicate in the applicable prospectus supplement, we will make payment of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Governing Law</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indenture and the debt securities will be governed by and construed in accordance with the internal laws of the State of New York, except to the extent that the Trust Indenture Act is applicable.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r>
        <w:rPr>
          <w:rFonts w:ascii="Times New Roman;Times;Serif" w:hAnsi="Times New Roman;Times;Serif"/>
          <w:b/>
          <w:sz w:val="20"/>
        </w:rPr>
        <w:t>DESCRIPTION OF WARRANTS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 xml:space="preserve">General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may issue warrants for the purchase of our common stock, preferred stock and/or debt securities in one or more series. We may issue warrants independently or together with common stock, preferred stock and/or debt securities, and the warrants may be attached to or separate from these securities.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will describe in the applicable prospectus supplement the terms of the series of warrants, including:</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offering price and aggregate number of warrants offered; </w:t>
            </w:r>
          </w:p>
        </w:tc>
      </w:tr>
    </w:tbl>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currency for which the warrants may be purchased;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applicable, the designation and terms of the securities with which the warrants are issued and the number of warrants issued with each such security or each principal amount of such security; </w:t>
            </w:r>
          </w:p>
        </w:tc>
      </w:tr>
    </w:tbl>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applicable, the date on and after which the warrants and the related securities will be separately transferable;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effect of any merger, consolidation, sale or other disposition of our business on the warrant agreement and the warrants; </w:t>
            </w:r>
          </w:p>
        </w:tc>
      </w:tr>
    </w:tbl>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terms of any rights to redeem or call the warrants;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provisions for changes to or adjustments in the exercise price or number of securities issuable upon exercise of the warrants; </w:t>
            </w:r>
          </w:p>
        </w:tc>
      </w:tr>
    </w:tbl>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periods during which, and places at which, the warrants are exercisable; </w:t>
            </w:r>
          </w:p>
        </w:tc>
      </w:tr>
    </w:tbl>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manner of exercise; </w:t>
            </w:r>
          </w:p>
        </w:tc>
      </w:tr>
    </w:tbl>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dates on which the right to exercise the warrants will commence and expire; </w:t>
            </w:r>
          </w:p>
        </w:tc>
      </w:tr>
    </w:tbl>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manner in which the warrant agreement and warrants may be modified; </w:t>
            </w:r>
          </w:p>
        </w:tc>
      </w:tr>
    </w:tbl>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federal income tax consequences of holding or exercising the warrants; </w:t>
            </w:r>
          </w:p>
        </w:tc>
      </w:tr>
    </w:tbl>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terms of the securities issuable upon exercise of the warrants; and </w:t>
            </w:r>
          </w:p>
        </w:tc>
      </w:tr>
    </w:tbl>
    <w:tbl>
      <w:tblPr>
        <w:tblW w:w="7548" w:type="dxa"/>
        <w:jc w:val="left"/>
        <w:tblInd w:w="0" w:type="dxa"/>
        <w:tblLayout w:type="fixed"/>
        <w:tblCellMar>
          <w:top w:w="0" w:type="dxa"/>
          <w:left w:w="0" w:type="dxa"/>
          <w:bottom w:w="0" w:type="dxa"/>
          <w:right w:w="0" w:type="dxa"/>
        </w:tblCellMar>
      </w:tblPr>
      <w:tblGrid>
        <w:gridCol w:w="38"/>
        <w:gridCol w:w="17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warrants.</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25" w:name="a_024"/>
      <w:bookmarkEnd w:id="25"/>
      <w:r>
        <w:rPr>
          <w:rFonts w:ascii="Times New Roman;Times;Serif" w:hAnsi="Times New Roman;Times;Serif"/>
          <w:b/>
          <w:sz w:val="20"/>
        </w:rPr>
        <w:t>PLAN OF DISTRIBUTION</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may sell the offered securities in and outside the United States (1) through underwriters or dealers, (2) directly to one or more purchasers, including through a “registered direct” offering, including to a limited number of institutional purchasers, to a single purchaser or to our affiliates and stockholders, (3) through agents or (4) through a combination of any of these methods or otherwise.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If underwriters or dealers are used in the sale, the securities will be acquired by the underwriters or dealers for their own account and may be resold from time to time in one or more transactions, including:</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one or more transactions at a fixed price or prices, which may be changed from time to time;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“at-the-market offerings,” within the meaning of Rule 415(a)(4) of the Securities Act, to or through a market maker or into an existing trading market, on an exchange or otherwise;</w:t>
            </w:r>
          </w:p>
        </w:tc>
      </w:tr>
    </w:tbl>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market maker or into an existing trading market on an exchange or otherwise;</w:t>
            </w:r>
          </w:p>
        </w:tc>
      </w:tr>
    </w:tbl>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prices related to those prevailing market prices; or</w:t>
            </w:r>
          </w:p>
        </w:tc>
      </w:tr>
    </w:tbl>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negotiated prices.</w:t>
            </w:r>
          </w:p>
        </w:tc>
      </w:tr>
    </w:tbl>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applicable prospectus supplement will set forth the following information to the extent applicable:</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offering;</w:t>
            </w:r>
          </w:p>
        </w:tc>
      </w:tr>
    </w:tbl>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underwriters, dealers or agents or other purchasers;</w:t>
            </w:r>
          </w:p>
        </w:tc>
      </w:tr>
    </w:tbl>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any managing underwriter or underwriters;</w:t>
            </w:r>
          </w:p>
        </w:tc>
      </w:tr>
    </w:tbl>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 or other purchasers;</w:t>
            </w:r>
          </w:p>
        </w:tc>
      </w:tr>
    </w:tbl>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from the sale of the securities;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option to purchase additional shares or other options under which underwriters, dealers, agents or other purchasers may purchase additional securities from us;</w:t>
            </w:r>
          </w:p>
        </w:tc>
      </w:tr>
    </w:tbl>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arrangements;</w:t>
            </w:r>
          </w:p>
        </w:tc>
      </w:tr>
    </w:tbl>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commissions and other items constituting underwriters’ compensation;</w:t>
            </w:r>
          </w:p>
        </w:tc>
      </w:tr>
    </w:tbl>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initial public offering price;</w:t>
            </w:r>
          </w:p>
        </w:tc>
      </w:tr>
    </w:tbl>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 and</w:t>
            </w:r>
          </w:p>
        </w:tc>
      </w:tr>
    </w:tbl>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commissions paid to agents.</w:t>
            </w:r>
          </w:p>
        </w:tc>
      </w:tr>
    </w:tbl>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Sale through Underwriters or Dealers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If any securities are offered through dealers, we will sell the securities to them as principal. They may then resell those securities to the public at varying prices determined by the dealers at the time of resale.</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Direct Sales and Sales through Agents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may sell the securities directly to purchasers, including through one or more “registered direct” offerings.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Capital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At-the-Market Offerings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Remarketing Arrangements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Delayed Delivery Contracts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pStyle w:val="TextBody"/>
        <w:bidi w:val="0"/>
        <w:spacing w:before="0" w:after="180"/>
        <w:jc w:val="left"/>
        <w:rPr>
          <w:rFonts w:ascii="Times New Roman;Times;Serif" w:hAnsi="Times New Roman;Times;Serif"/>
          <w:b/>
          <w:sz w:val="20"/>
        </w:rPr>
      </w:pPr>
      <w:r>
        <w:rPr>
          <w:rFonts w:ascii="Times New Roman;Times;Serif" w:hAnsi="Times New Roman;Times;Serif"/>
          <w:b/>
          <w:sz w:val="20"/>
        </w:rPr>
        <w:t>General Information</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26" w:name="a_025"/>
      <w:bookmarkEnd w:id="26"/>
      <w:r>
        <w:rPr>
          <w:rFonts w:ascii="Times New Roman;Times;Serif" w:hAnsi="Times New Roman;Times;Serif"/>
          <w:b/>
          <w:sz w:val="20"/>
        </w:rPr>
        <w:t>LEGAL MATTERS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validity and enforceability of the securities offered hereby as to Nevada law will be passed upon for us by Stradling Yocca Carlson &amp; Rauth, PC. The enforceability of the securities offered hereby as to New York law will be passed upon for us by Freshfields Bruckhaus Deringer US LLP. Any underwriters or agents will be advised about other issues relating to the offering by counsel to be named in the applicable prospectus supplement.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spacing w:before="0" w:after="180"/>
        <w:jc w:val="center"/>
        <w:rPr>
          <w:rFonts w:ascii="Times New Roman;Times;Serif" w:hAnsi="Times New Roman;Times;Serif"/>
          <w:b/>
          <w:sz w:val="20"/>
        </w:rPr>
      </w:pPr>
      <w:bookmarkStart w:id="27" w:name="a_026"/>
      <w:bookmarkEnd w:id="27"/>
      <w:r>
        <w:rPr>
          <w:rFonts w:ascii="Times New Roman;Times;Serif" w:hAnsi="Times New Roman;Times;Serif"/>
          <w:b/>
          <w:sz w:val="20"/>
        </w:rPr>
        <w:t>EXPERTS</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of Expion360, Inc. as of December 31, 2022 and 2021, and for each of the two years in the period ended December 31, 2022  , incorporated by reference in this Prospectus, have been audited by M&amp;K CPAS, PLLC,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 cy="800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762000" cy="8001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EXPION360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 Shares of Common Stock</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7, 2024</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894954/000190359623000244/0001903596-23-000244-index.htm" TargetMode="External"/><Relationship Id="rId5" Type="http://schemas.openxmlformats.org/officeDocument/2006/relationships/hyperlink" Target="https://www.sec.gov/Archives/edgar/data/1894954/000190359623000392/0001903596-23-000392-index.htm" TargetMode="External"/><Relationship Id="rId6" Type="http://schemas.openxmlformats.org/officeDocument/2006/relationships/hyperlink" Target="https://www.sec.gov/Archives/edgar/data/1894954/000190359623000096/0001903596-23-000096-index.htm" TargetMode="External"/><Relationship Id="rId7" Type="http://schemas.openxmlformats.org/officeDocument/2006/relationships/hyperlink" Target="https://www.sec.gov/Archives/edgar/data/1894954/000190359622000149/0001903596-22-000149-index.htm" TargetMode="External"/><Relationship Id="rId8" Type="http://schemas.openxmlformats.org/officeDocument/2006/relationships/hyperlink" Target="https://www.sec.gov/Archives/edgar/data/1894954/000190359623000244/ex4_4.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17576</Words>
  <Characters>92865</Characters>
  <CharactersWithSpaces>110084</CharactersWithSpaces>
  <Paragraphs>908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